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8" w:rsidRDefault="00BA22D8" w:rsidP="00BA22D8">
      <w:pPr>
        <w:pBdr>
          <w:top w:val="single" w:sz="4" w:space="1" w:color="auto"/>
          <w:left w:val="single" w:sz="4" w:space="4" w:color="auto"/>
          <w:bottom w:val="single" w:sz="4" w:space="1" w:color="auto"/>
          <w:right w:val="single" w:sz="4" w:space="4" w:color="auto"/>
        </w:pBdr>
        <w:spacing w:after="0" w:line="240" w:lineRule="auto"/>
        <w:rPr>
          <w:lang w:val="de-AT"/>
        </w:rPr>
      </w:pPr>
      <w:r>
        <w:rPr>
          <w:lang w:val="de-AT"/>
        </w:rPr>
        <w:t>PH-Linz - Fachbereich Geographie und Wirtschaftskunde</w:t>
      </w:r>
    </w:p>
    <w:p w:rsidR="00BA22D8" w:rsidRDefault="00BA22D8" w:rsidP="00BA22D8">
      <w:pPr>
        <w:pBdr>
          <w:top w:val="single" w:sz="4" w:space="1" w:color="auto"/>
          <w:left w:val="single" w:sz="4" w:space="4" w:color="auto"/>
          <w:bottom w:val="single" w:sz="4" w:space="1" w:color="auto"/>
          <w:right w:val="single" w:sz="4" w:space="4" w:color="auto"/>
        </w:pBdr>
        <w:tabs>
          <w:tab w:val="right" w:pos="8931"/>
        </w:tabs>
        <w:spacing w:after="0" w:line="240" w:lineRule="auto"/>
        <w:rPr>
          <w:lang w:val="de-AT"/>
        </w:rPr>
      </w:pPr>
      <w:r>
        <w:rPr>
          <w:lang w:val="de-AT"/>
        </w:rPr>
        <w:t>Modulprüfung GW6: Demographie Österreichs</w:t>
      </w:r>
      <w:r>
        <w:rPr>
          <w:lang w:val="de-AT"/>
        </w:rPr>
        <w:tab/>
        <w:t>WS 2012/13</w:t>
      </w:r>
    </w:p>
    <w:p w:rsidR="00BA22D8" w:rsidRDefault="00BA22D8">
      <w:pPr>
        <w:rPr>
          <w:lang w:val="de-AT"/>
        </w:rPr>
      </w:pPr>
    </w:p>
    <w:p w:rsidR="00BA22D8" w:rsidRDefault="008659E5" w:rsidP="00BA22D8">
      <w:pPr>
        <w:jc w:val="right"/>
        <w:rPr>
          <w:b/>
          <w:lang w:val="de-AT"/>
        </w:rPr>
      </w:pPr>
      <w:r>
        <w:rPr>
          <w:b/>
          <w:lang w:val="de-AT"/>
        </w:rPr>
        <w:t>…………………………………………..</w:t>
      </w:r>
    </w:p>
    <w:p w:rsidR="00BA22D8" w:rsidRPr="00BA22D8" w:rsidRDefault="00BA22D8" w:rsidP="00BA22D8">
      <w:pPr>
        <w:jc w:val="center"/>
        <w:rPr>
          <w:b/>
          <w:sz w:val="32"/>
          <w:lang w:val="de-AT"/>
        </w:rPr>
      </w:pPr>
      <w:r w:rsidRPr="00BA22D8">
        <w:rPr>
          <w:b/>
          <w:sz w:val="32"/>
          <w:lang w:val="de-AT"/>
        </w:rPr>
        <w:t xml:space="preserve">Altersstruktur der </w:t>
      </w:r>
      <w:r w:rsidR="004B032F">
        <w:rPr>
          <w:b/>
          <w:sz w:val="32"/>
          <w:lang w:val="de-AT"/>
        </w:rPr>
        <w:t xml:space="preserve">österreichischen </w:t>
      </w:r>
      <w:r w:rsidRPr="00BA22D8">
        <w:rPr>
          <w:b/>
          <w:sz w:val="32"/>
          <w:lang w:val="de-AT"/>
        </w:rPr>
        <w:t>Bevölkerung</w:t>
      </w:r>
    </w:p>
    <w:p w:rsidR="00BA22D8" w:rsidRDefault="00BA22D8">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4B032F" w:rsidRPr="004B032F" w:rsidTr="004B032F">
        <w:tc>
          <w:tcPr>
            <w:tcW w:w="8188" w:type="dxa"/>
          </w:tcPr>
          <w:p w:rsidR="004B032F" w:rsidRPr="004B032F" w:rsidRDefault="004B032F" w:rsidP="00FF4E2E">
            <w:pPr>
              <w:pStyle w:val="Listenabsatz"/>
              <w:numPr>
                <w:ilvl w:val="0"/>
                <w:numId w:val="1"/>
              </w:numPr>
              <w:rPr>
                <w:lang w:val="de-AT"/>
              </w:rPr>
            </w:pPr>
            <w:r w:rsidRPr="004B032F">
              <w:rPr>
                <w:lang w:val="de-AT"/>
              </w:rPr>
              <w:t>Beschreiben Sie die Bevölkerungs</w:t>
            </w:r>
            <w:r w:rsidR="00FF4E2E">
              <w:rPr>
                <w:lang w:val="de-AT"/>
              </w:rPr>
              <w:t>struktur</w:t>
            </w:r>
            <w:r w:rsidRPr="004B032F">
              <w:rPr>
                <w:lang w:val="de-AT"/>
              </w:rPr>
              <w:t xml:space="preserve"> von 1910.</w:t>
            </w:r>
          </w:p>
        </w:tc>
        <w:tc>
          <w:tcPr>
            <w:tcW w:w="1100" w:type="dxa"/>
          </w:tcPr>
          <w:p w:rsidR="004B032F" w:rsidRPr="004B032F" w:rsidRDefault="004B032F" w:rsidP="004B032F">
            <w:pPr>
              <w:rPr>
                <w:sz w:val="18"/>
                <w:lang w:val="de-AT"/>
              </w:rPr>
            </w:pPr>
            <w:r w:rsidRPr="004B032F">
              <w:rPr>
                <w:sz w:val="18"/>
                <w:lang w:val="de-AT"/>
              </w:rPr>
              <w:t>AFB I</w:t>
            </w:r>
          </w:p>
        </w:tc>
      </w:tr>
      <w:tr w:rsidR="004B032F" w:rsidRPr="004B032F" w:rsidTr="004B032F">
        <w:tc>
          <w:tcPr>
            <w:tcW w:w="8188" w:type="dxa"/>
          </w:tcPr>
          <w:p w:rsidR="004B032F" w:rsidRPr="004B032F" w:rsidRDefault="004B032F" w:rsidP="00887177">
            <w:pPr>
              <w:pStyle w:val="Listenabsatz"/>
              <w:numPr>
                <w:ilvl w:val="0"/>
                <w:numId w:val="1"/>
              </w:numPr>
              <w:rPr>
                <w:lang w:val="de-AT"/>
              </w:rPr>
            </w:pPr>
            <w:r w:rsidRPr="004B032F">
              <w:rPr>
                <w:lang w:val="de-AT"/>
              </w:rPr>
              <w:t>Vergleichen Sie die Altersstruktur der österreichischen Bevölkerung von 2011 mit jener von 1910.</w:t>
            </w:r>
          </w:p>
        </w:tc>
        <w:tc>
          <w:tcPr>
            <w:tcW w:w="1100" w:type="dxa"/>
          </w:tcPr>
          <w:p w:rsidR="004B032F" w:rsidRPr="004B032F" w:rsidRDefault="004B032F" w:rsidP="004B032F">
            <w:pPr>
              <w:rPr>
                <w:sz w:val="18"/>
                <w:lang w:val="de-AT"/>
              </w:rPr>
            </w:pPr>
            <w:r w:rsidRPr="004B032F">
              <w:rPr>
                <w:sz w:val="18"/>
                <w:lang w:val="de-AT"/>
              </w:rPr>
              <w:t>AFB II</w:t>
            </w:r>
          </w:p>
        </w:tc>
      </w:tr>
      <w:tr w:rsidR="004B032F" w:rsidRPr="004B032F" w:rsidTr="004B032F">
        <w:tc>
          <w:tcPr>
            <w:tcW w:w="8188" w:type="dxa"/>
          </w:tcPr>
          <w:p w:rsidR="004B032F" w:rsidRPr="004B032F" w:rsidRDefault="004B032F" w:rsidP="00FF4E2E">
            <w:pPr>
              <w:pStyle w:val="Listenabsatz"/>
              <w:numPr>
                <w:ilvl w:val="0"/>
                <w:numId w:val="1"/>
              </w:numPr>
              <w:rPr>
                <w:lang w:val="de-AT"/>
              </w:rPr>
            </w:pPr>
            <w:r w:rsidRPr="004B032F">
              <w:rPr>
                <w:lang w:val="de-AT"/>
              </w:rPr>
              <w:t>Beschreiben Sie das gesellschaftliche Umfeld, das zu diese</w:t>
            </w:r>
            <w:r w:rsidR="00FF4E2E">
              <w:rPr>
                <w:lang w:val="de-AT"/>
              </w:rPr>
              <w:t>n</w:t>
            </w:r>
            <w:r w:rsidRPr="004B032F">
              <w:rPr>
                <w:lang w:val="de-AT"/>
              </w:rPr>
              <w:t xml:space="preserve"> Altersstruktur</w:t>
            </w:r>
            <w:r w:rsidR="00FF4E2E">
              <w:rPr>
                <w:lang w:val="de-AT"/>
              </w:rPr>
              <w:t>en</w:t>
            </w:r>
            <w:r w:rsidRPr="004B032F">
              <w:rPr>
                <w:lang w:val="de-AT"/>
              </w:rPr>
              <w:t xml:space="preserve"> geführt hat. Stellen Sie Querverweise zu den Abbildungen her.</w:t>
            </w:r>
          </w:p>
        </w:tc>
        <w:tc>
          <w:tcPr>
            <w:tcW w:w="1100" w:type="dxa"/>
          </w:tcPr>
          <w:p w:rsidR="004B032F" w:rsidRPr="004B032F" w:rsidRDefault="004B032F" w:rsidP="004B032F">
            <w:pPr>
              <w:rPr>
                <w:sz w:val="18"/>
                <w:lang w:val="de-AT"/>
              </w:rPr>
            </w:pPr>
            <w:r w:rsidRPr="004B032F">
              <w:rPr>
                <w:sz w:val="18"/>
                <w:lang w:val="de-AT"/>
              </w:rPr>
              <w:t>AFB II</w:t>
            </w:r>
          </w:p>
        </w:tc>
      </w:tr>
      <w:tr w:rsidR="004B032F" w:rsidRPr="004B032F" w:rsidTr="004B032F">
        <w:tc>
          <w:tcPr>
            <w:tcW w:w="8188" w:type="dxa"/>
          </w:tcPr>
          <w:p w:rsidR="004B032F" w:rsidRPr="004B032F" w:rsidRDefault="004B032F" w:rsidP="008659E5">
            <w:pPr>
              <w:pStyle w:val="Listenabsatz"/>
              <w:numPr>
                <w:ilvl w:val="0"/>
                <w:numId w:val="1"/>
              </w:numPr>
              <w:rPr>
                <w:lang w:val="de-AT"/>
              </w:rPr>
            </w:pPr>
            <w:bookmarkStart w:id="0" w:name="_GoBack"/>
            <w:r w:rsidRPr="00A65A76">
              <w:rPr>
                <w:i/>
                <w:lang w:val="de-AT"/>
              </w:rPr>
              <w:t>Peter Menasse</w:t>
            </w:r>
            <w:r w:rsidRPr="004B032F">
              <w:rPr>
                <w:lang w:val="de-AT"/>
              </w:rPr>
              <w:t xml:space="preserve"> </w:t>
            </w:r>
            <w:bookmarkEnd w:id="0"/>
            <w:r w:rsidRPr="004B032F">
              <w:rPr>
                <w:lang w:val="de-AT"/>
              </w:rPr>
              <w:t xml:space="preserve">schreibt nachfolgenden Gastkommentar in </w:t>
            </w:r>
            <w:r w:rsidR="008659E5" w:rsidRPr="008659E5">
              <w:rPr>
                <w:i/>
                <w:lang w:val="de-AT"/>
              </w:rPr>
              <w:t>Die</w:t>
            </w:r>
            <w:r w:rsidRPr="008659E5">
              <w:rPr>
                <w:i/>
                <w:lang w:val="de-AT"/>
              </w:rPr>
              <w:t xml:space="preserve"> Presse</w:t>
            </w:r>
            <w:r w:rsidRPr="004B032F">
              <w:rPr>
                <w:lang w:val="de-AT"/>
              </w:rPr>
              <w:t xml:space="preserve"> am 23.1.201</w:t>
            </w:r>
            <w:r w:rsidR="00972407">
              <w:rPr>
                <w:lang w:val="de-AT"/>
              </w:rPr>
              <w:t>3</w:t>
            </w:r>
            <w:r w:rsidRPr="004B032F">
              <w:rPr>
                <w:lang w:val="de-AT"/>
              </w:rPr>
              <w:t xml:space="preserve"> (S. 27).</w:t>
            </w:r>
            <w:r w:rsidR="00972407">
              <w:rPr>
                <w:lang w:val="de-AT"/>
              </w:rPr>
              <w:t xml:space="preserve"> </w:t>
            </w:r>
            <w:r w:rsidRPr="004B032F">
              <w:rPr>
                <w:lang w:val="de-AT"/>
              </w:rPr>
              <w:t xml:space="preserve">Begründen Sie seine Argumentation aufgrund der Altersstruktur der österreichischen Bevölkerung. </w:t>
            </w:r>
          </w:p>
        </w:tc>
        <w:tc>
          <w:tcPr>
            <w:tcW w:w="1100" w:type="dxa"/>
          </w:tcPr>
          <w:p w:rsidR="004B032F" w:rsidRPr="004B032F" w:rsidRDefault="004B032F" w:rsidP="004B032F">
            <w:pPr>
              <w:rPr>
                <w:sz w:val="18"/>
                <w:lang w:val="de-AT"/>
              </w:rPr>
            </w:pPr>
            <w:r w:rsidRPr="004B032F">
              <w:rPr>
                <w:sz w:val="18"/>
                <w:lang w:val="de-AT"/>
              </w:rPr>
              <w:t>AFB I</w:t>
            </w:r>
            <w:r>
              <w:rPr>
                <w:sz w:val="18"/>
                <w:lang w:val="de-AT"/>
              </w:rPr>
              <w:t>I</w:t>
            </w:r>
          </w:p>
        </w:tc>
      </w:tr>
      <w:tr w:rsidR="004B032F" w:rsidRPr="004B032F" w:rsidTr="004B032F">
        <w:tc>
          <w:tcPr>
            <w:tcW w:w="8188" w:type="dxa"/>
          </w:tcPr>
          <w:p w:rsidR="004B032F" w:rsidRPr="004B032F" w:rsidRDefault="004B032F" w:rsidP="00887177">
            <w:pPr>
              <w:pStyle w:val="Listenabsatz"/>
              <w:numPr>
                <w:ilvl w:val="0"/>
                <w:numId w:val="1"/>
              </w:numPr>
              <w:rPr>
                <w:lang w:val="de-AT"/>
              </w:rPr>
            </w:pPr>
            <w:r w:rsidRPr="004B032F">
              <w:rPr>
                <w:lang w:val="de-AT"/>
              </w:rPr>
              <w:t>Nehmen Sie zu den Konsequenzen dieser Argumentationsweise Stellung</w:t>
            </w:r>
            <w:r w:rsidR="00972407">
              <w:rPr>
                <w:lang w:val="de-AT"/>
              </w:rPr>
              <w:t>.</w:t>
            </w:r>
          </w:p>
        </w:tc>
        <w:tc>
          <w:tcPr>
            <w:tcW w:w="1100" w:type="dxa"/>
          </w:tcPr>
          <w:p w:rsidR="004B032F" w:rsidRPr="004B032F" w:rsidRDefault="004B032F" w:rsidP="004B032F">
            <w:pPr>
              <w:rPr>
                <w:sz w:val="18"/>
                <w:lang w:val="de-AT"/>
              </w:rPr>
            </w:pPr>
            <w:r w:rsidRPr="004B032F">
              <w:rPr>
                <w:sz w:val="18"/>
                <w:lang w:val="de-AT"/>
              </w:rPr>
              <w:t>AFB I</w:t>
            </w:r>
            <w:r>
              <w:rPr>
                <w:sz w:val="18"/>
                <w:lang w:val="de-AT"/>
              </w:rPr>
              <w:t>II</w:t>
            </w:r>
          </w:p>
        </w:tc>
      </w:tr>
    </w:tbl>
    <w:p w:rsidR="004B032F" w:rsidRDefault="004B032F" w:rsidP="004B032F">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26"/>
      </w:tblGrid>
      <w:tr w:rsidR="004B032F" w:rsidTr="004B032F">
        <w:tc>
          <w:tcPr>
            <w:tcW w:w="7610" w:type="dxa"/>
          </w:tcPr>
          <w:p w:rsidR="004B032F" w:rsidRDefault="004B032F" w:rsidP="00C25D9A">
            <w:pPr>
              <w:rPr>
                <w:lang w:val="de-AT"/>
              </w:rPr>
            </w:pPr>
            <w:r>
              <w:rPr>
                <w:noProof/>
                <w:lang w:val="de-AT" w:eastAsia="de-AT"/>
              </w:rPr>
              <w:drawing>
                <wp:inline distT="0" distB="0" distL="0" distR="0" wp14:anchorId="5DFF2904" wp14:editId="20D5585F">
                  <wp:extent cx="2776444" cy="2108041"/>
                  <wp:effectExtent l="0" t="0" r="50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19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4053" cy="2113818"/>
                          </a:xfrm>
                          <a:prstGeom prst="rect">
                            <a:avLst/>
                          </a:prstGeom>
                        </pic:spPr>
                      </pic:pic>
                    </a:graphicData>
                  </a:graphic>
                </wp:inline>
              </w:drawing>
            </w:r>
          </w:p>
        </w:tc>
        <w:tc>
          <w:tcPr>
            <w:tcW w:w="958" w:type="dxa"/>
          </w:tcPr>
          <w:p w:rsidR="004B032F" w:rsidRDefault="004B032F" w:rsidP="00C25D9A">
            <w:pPr>
              <w:rPr>
                <w:lang w:val="de-AT"/>
              </w:rPr>
            </w:pPr>
            <w:r>
              <w:rPr>
                <w:noProof/>
                <w:lang w:val="de-AT" w:eastAsia="de-AT"/>
              </w:rPr>
              <w:drawing>
                <wp:inline distT="0" distB="0" distL="0" distR="0" wp14:anchorId="33ABE6CA" wp14:editId="64C1A8A6">
                  <wp:extent cx="2796589" cy="2113472"/>
                  <wp:effectExtent l="0" t="0" r="381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381" cy="2111803"/>
                          </a:xfrm>
                          <a:prstGeom prst="rect">
                            <a:avLst/>
                          </a:prstGeom>
                        </pic:spPr>
                      </pic:pic>
                    </a:graphicData>
                  </a:graphic>
                </wp:inline>
              </w:drawing>
            </w:r>
          </w:p>
        </w:tc>
      </w:tr>
      <w:tr w:rsidR="004B032F" w:rsidTr="004B032F">
        <w:tc>
          <w:tcPr>
            <w:tcW w:w="7610" w:type="dxa"/>
          </w:tcPr>
          <w:p w:rsidR="004B032F" w:rsidRDefault="004B032F" w:rsidP="00C25D9A">
            <w:pPr>
              <w:rPr>
                <w:lang w:val="de-AT"/>
              </w:rPr>
            </w:pPr>
            <w:r>
              <w:rPr>
                <w:lang w:val="de-AT"/>
              </w:rPr>
              <w:t>Abb. 1: Bevölkerungspyramide Österreich 1910</w:t>
            </w:r>
          </w:p>
        </w:tc>
        <w:tc>
          <w:tcPr>
            <w:tcW w:w="958" w:type="dxa"/>
          </w:tcPr>
          <w:p w:rsidR="004B032F" w:rsidRDefault="004B032F" w:rsidP="00C25D9A">
            <w:pPr>
              <w:rPr>
                <w:lang w:val="de-AT"/>
              </w:rPr>
            </w:pPr>
            <w:r>
              <w:rPr>
                <w:lang w:val="de-AT"/>
              </w:rPr>
              <w:t>Abb. 2: Bevölkerungspyramide 2011</w:t>
            </w:r>
          </w:p>
        </w:tc>
      </w:tr>
    </w:tbl>
    <w:p w:rsidR="004B032F" w:rsidRPr="004B032F" w:rsidRDefault="004B032F" w:rsidP="004B032F">
      <w:pPr>
        <w:rPr>
          <w:lang w:val="de-AT"/>
        </w:rPr>
      </w:pPr>
    </w:p>
    <w:p w:rsidR="004B032F" w:rsidRPr="00945F43" w:rsidRDefault="004B032F"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lang w:val="de-AT"/>
        </w:rPr>
      </w:pPr>
      <w:r w:rsidRPr="004B032F">
        <w:rPr>
          <w:lang w:val="de-AT"/>
        </w:rPr>
        <w:t>Abb. 3:</w:t>
      </w:r>
      <w:r>
        <w:rPr>
          <w:lang w:val="de-AT"/>
        </w:rPr>
        <w:t xml:space="preserve"> </w:t>
      </w:r>
      <w:r>
        <w:rPr>
          <w:rFonts w:ascii="TTE2572AE8t00" w:hAnsi="TTE2572AE8t00" w:cs="TTE2572AE8t00"/>
          <w:sz w:val="19"/>
          <w:szCs w:val="19"/>
          <w:lang w:val="de-AT"/>
        </w:rPr>
        <w:t>Peter Menasse (201</w:t>
      </w:r>
      <w:r w:rsidR="00972407">
        <w:rPr>
          <w:rFonts w:ascii="TTE2572AE8t00" w:hAnsi="TTE2572AE8t00" w:cs="TTE2572AE8t00"/>
          <w:sz w:val="19"/>
          <w:szCs w:val="19"/>
          <w:lang w:val="de-AT"/>
        </w:rPr>
        <w:t>3</w:t>
      </w:r>
      <w:r>
        <w:rPr>
          <w:rFonts w:ascii="TTE2572AE8t00" w:hAnsi="TTE2572AE8t00" w:cs="TTE2572AE8t00"/>
          <w:sz w:val="19"/>
          <w:szCs w:val="19"/>
          <w:lang w:val="de-AT"/>
        </w:rPr>
        <w:t>)</w:t>
      </w:r>
    </w:p>
    <w:p w:rsidR="00945F43" w:rsidRPr="00945F43" w:rsidRDefault="00945F43"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b/>
          <w:lang w:val="de-AT"/>
        </w:rPr>
      </w:pPr>
      <w:r w:rsidRPr="00945F43">
        <w:rPr>
          <w:b/>
          <w:lang w:val="de-AT"/>
        </w:rPr>
        <w:t>„Pensionisten, ihr wollt das Zwangsheer? Dann zahlt auch die Zeche!“</w:t>
      </w:r>
    </w:p>
    <w:p w:rsidR="00945F43" w:rsidRDefault="00945F43"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lang w:val="de-AT"/>
        </w:rPr>
      </w:pPr>
      <w:r>
        <w:rPr>
          <w:lang w:val="de-AT"/>
        </w:rPr>
        <w:t xml:space="preserve">…. </w:t>
      </w:r>
    </w:p>
    <w:p w:rsidR="00945F43" w:rsidRDefault="00945F43"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sz w:val="19"/>
          <w:szCs w:val="19"/>
          <w:lang w:val="de-AT"/>
        </w:rPr>
      </w:pPr>
      <w:r w:rsidRPr="00945F43">
        <w:rPr>
          <w:rFonts w:ascii="TTE2572AE8t00" w:hAnsi="TTE2572AE8t00" w:cs="TTE2572AE8t00"/>
          <w:sz w:val="19"/>
          <w:szCs w:val="19"/>
          <w:lang w:val="de-AT"/>
        </w:rPr>
        <w:t>Mehr als 70 Prozent der über 60-Jährigen haben am vergangenen Sonntag für Wehrpflicht und</w:t>
      </w:r>
      <w:r>
        <w:rPr>
          <w:rFonts w:ascii="TTE2572AE8t00" w:hAnsi="TTE2572AE8t00" w:cs="TTE2572AE8t00"/>
          <w:sz w:val="19"/>
          <w:szCs w:val="19"/>
          <w:lang w:val="de-AT"/>
        </w:rPr>
        <w:t xml:space="preserve"> </w:t>
      </w:r>
      <w:r w:rsidRPr="00945F43">
        <w:rPr>
          <w:rFonts w:ascii="TTE2572AE8t00" w:hAnsi="TTE2572AE8t00" w:cs="TTE2572AE8t00"/>
          <w:sz w:val="19"/>
          <w:szCs w:val="19"/>
          <w:lang w:val="de-AT"/>
        </w:rPr>
        <w:t>Zivildienst gestimmt. Die Generation der Pensionisten schickt die jungen Männer zu den Waffen und</w:t>
      </w:r>
      <w:r>
        <w:rPr>
          <w:rFonts w:ascii="TTE2572AE8t00" w:hAnsi="TTE2572AE8t00" w:cs="TTE2572AE8t00"/>
          <w:sz w:val="19"/>
          <w:szCs w:val="19"/>
          <w:lang w:val="de-AT"/>
        </w:rPr>
        <w:t xml:space="preserve"> </w:t>
      </w:r>
      <w:r w:rsidRPr="00945F43">
        <w:rPr>
          <w:rFonts w:ascii="TTE2572AE8t00" w:hAnsi="TTE2572AE8t00" w:cs="TTE2572AE8t00"/>
          <w:sz w:val="19"/>
          <w:szCs w:val="19"/>
          <w:lang w:val="de-AT"/>
        </w:rPr>
        <w:t>in schlecht bezahlte Jobs – ob die das wollen oder nicht.</w:t>
      </w:r>
    </w:p>
    <w:p w:rsidR="00945F43" w:rsidRDefault="00945F43" w:rsidP="004B032F">
      <w:pPr>
        <w:pBdr>
          <w:top w:val="single" w:sz="4" w:space="1" w:color="auto"/>
          <w:left w:val="single" w:sz="4" w:space="4" w:color="auto"/>
          <w:bottom w:val="single" w:sz="4" w:space="1" w:color="auto"/>
          <w:right w:val="single" w:sz="4" w:space="4" w:color="auto"/>
        </w:pBdr>
        <w:spacing w:after="0" w:line="240" w:lineRule="auto"/>
        <w:ind w:left="720"/>
        <w:rPr>
          <w:rFonts w:ascii="TTE2572AE8t00" w:hAnsi="TTE2572AE8t00" w:cs="TTE2572AE8t00"/>
          <w:sz w:val="19"/>
          <w:szCs w:val="19"/>
          <w:lang w:val="de-AT"/>
        </w:rPr>
      </w:pPr>
      <w:r>
        <w:rPr>
          <w:rFonts w:ascii="TTE2572AE8t00" w:hAnsi="TTE2572AE8t00" w:cs="TTE2572AE8t00"/>
          <w:sz w:val="19"/>
          <w:szCs w:val="19"/>
          <w:lang w:val="de-AT"/>
        </w:rPr>
        <w:t>…..</w:t>
      </w:r>
    </w:p>
    <w:p w:rsidR="00945F43" w:rsidRDefault="00945F43"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sz w:val="19"/>
          <w:szCs w:val="19"/>
          <w:lang w:val="de-AT"/>
        </w:rPr>
      </w:pPr>
      <w:r>
        <w:rPr>
          <w:rFonts w:ascii="TTE2572AE8t00" w:hAnsi="TTE2572AE8t00" w:cs="TTE2572AE8t00"/>
          <w:sz w:val="19"/>
          <w:szCs w:val="19"/>
          <w:lang w:val="de-AT"/>
        </w:rPr>
        <w:t>Die Wirtschaft boomte, es wurde investiert. Ein Gutteil dieser Investitionen wurde auf Pump bezahlt. Die heute arbeitenden Menschen und die ganz Jungen, die in den nächsten Jahren ihre Chancen auf einem notleidenden Arbeitsmarkt suchen werden, werden für die Schulden aufkommen müssen.</w:t>
      </w:r>
      <w:r w:rsidR="004B032F">
        <w:rPr>
          <w:rFonts w:ascii="TTE2572AE8t00" w:hAnsi="TTE2572AE8t00" w:cs="TTE2572AE8t00"/>
          <w:sz w:val="19"/>
          <w:szCs w:val="19"/>
          <w:lang w:val="de-AT"/>
        </w:rPr>
        <w:t xml:space="preserve"> ….</w:t>
      </w:r>
    </w:p>
    <w:p w:rsidR="004B032F" w:rsidRDefault="004B032F"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sz w:val="19"/>
          <w:szCs w:val="19"/>
          <w:lang w:val="de-AT"/>
        </w:rPr>
      </w:pPr>
    </w:p>
    <w:p w:rsidR="004B032F" w:rsidRPr="004B032F" w:rsidRDefault="004B032F"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i/>
          <w:sz w:val="19"/>
          <w:szCs w:val="19"/>
          <w:lang w:val="de-AT"/>
        </w:rPr>
      </w:pPr>
      <w:r w:rsidRPr="004B032F">
        <w:rPr>
          <w:rFonts w:ascii="TTE2572AE8t00" w:hAnsi="TTE2572AE8t00" w:cs="TTE2572AE8t00"/>
          <w:i/>
          <w:sz w:val="19"/>
          <w:szCs w:val="19"/>
          <w:lang w:val="de-AT"/>
        </w:rPr>
        <w:t>In: Die Presse 23.1.201</w:t>
      </w:r>
      <w:r w:rsidR="00972407">
        <w:rPr>
          <w:rFonts w:ascii="TTE2572AE8t00" w:hAnsi="TTE2572AE8t00" w:cs="TTE2572AE8t00"/>
          <w:i/>
          <w:sz w:val="19"/>
          <w:szCs w:val="19"/>
          <w:lang w:val="de-AT"/>
        </w:rPr>
        <w:t>3</w:t>
      </w:r>
      <w:r w:rsidRPr="004B032F">
        <w:rPr>
          <w:rFonts w:ascii="TTE2572AE8t00" w:hAnsi="TTE2572AE8t00" w:cs="TTE2572AE8t00"/>
          <w:i/>
          <w:sz w:val="19"/>
          <w:szCs w:val="19"/>
          <w:lang w:val="de-AT"/>
        </w:rPr>
        <w:t>, S. 27</w:t>
      </w:r>
    </w:p>
    <w:sectPr w:rsidR="004B032F" w:rsidRPr="004B032F" w:rsidSect="004B032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E2572A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90BFF"/>
    <w:multiLevelType w:val="hybridMultilevel"/>
    <w:tmpl w:val="DA348A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D8"/>
    <w:rsid w:val="004B032F"/>
    <w:rsid w:val="008659E5"/>
    <w:rsid w:val="00945F43"/>
    <w:rsid w:val="00972407"/>
    <w:rsid w:val="00A65A76"/>
    <w:rsid w:val="00B611BD"/>
    <w:rsid w:val="00BA22D8"/>
    <w:rsid w:val="00FF4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2</cp:revision>
  <cp:lastPrinted>2013-01-23T05:39:00Z</cp:lastPrinted>
  <dcterms:created xsi:type="dcterms:W3CDTF">2013-02-08T11:35:00Z</dcterms:created>
  <dcterms:modified xsi:type="dcterms:W3CDTF">2013-02-08T11:35:00Z</dcterms:modified>
</cp:coreProperties>
</file>