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  <w:r>
        <w:rPr>
          <w:lang w:val="de-AT"/>
        </w:rPr>
        <w:t>PH-Linz - Fachbereich Geographie und Wirtschaftskunde</w:t>
      </w:r>
    </w:p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rPr>
          <w:lang w:val="de-AT"/>
        </w:rPr>
      </w:pPr>
      <w:r>
        <w:rPr>
          <w:lang w:val="de-AT"/>
        </w:rPr>
        <w:t>Modulprüfung GW6: Demographie Österreichs</w:t>
      </w:r>
      <w:r>
        <w:rPr>
          <w:lang w:val="de-AT"/>
        </w:rPr>
        <w:tab/>
        <w:t>WS 2012/13</w:t>
      </w:r>
    </w:p>
    <w:p w:rsidR="00BA22D8" w:rsidRDefault="00BA22D8">
      <w:pPr>
        <w:rPr>
          <w:lang w:val="de-AT"/>
        </w:rPr>
      </w:pPr>
    </w:p>
    <w:p w:rsidR="00BA22D8" w:rsidRDefault="001E0DE4" w:rsidP="00BA22D8">
      <w:pPr>
        <w:jc w:val="right"/>
        <w:rPr>
          <w:b/>
          <w:lang w:val="de-AT"/>
        </w:rPr>
      </w:pPr>
      <w:r>
        <w:rPr>
          <w:b/>
          <w:lang w:val="de-AT"/>
        </w:rPr>
        <w:t>………………………………………</w:t>
      </w:r>
    </w:p>
    <w:p w:rsidR="00BA22D8" w:rsidRPr="00BA22D8" w:rsidRDefault="00190686" w:rsidP="00BA22D8">
      <w:pPr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t>Pensionsvorsorge</w:t>
      </w:r>
    </w:p>
    <w:p w:rsidR="00BA22D8" w:rsidRDefault="00BA22D8">
      <w:pPr>
        <w:rPr>
          <w:lang w:val="de-AT"/>
        </w:rPr>
      </w:pPr>
    </w:p>
    <w:p w:rsidR="00190686" w:rsidRDefault="00190686" w:rsidP="00BF539B">
      <w:pPr>
        <w:pStyle w:val="Listenabsatz"/>
        <w:numPr>
          <w:ilvl w:val="0"/>
          <w:numId w:val="1"/>
        </w:numPr>
        <w:rPr>
          <w:lang w:val="de-AT"/>
        </w:rPr>
        <w:sectPr w:rsidR="00190686" w:rsidSect="00190686">
          <w:pgSz w:w="11906" w:h="16838"/>
          <w:pgMar w:top="1417" w:right="1417" w:bottom="426" w:left="1417" w:header="708" w:footer="708" w:gutter="0"/>
          <w:cols w:space="282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1E0DE4" w:rsidRPr="004B032F" w:rsidTr="004B032F">
        <w:tc>
          <w:tcPr>
            <w:tcW w:w="8188" w:type="dxa"/>
          </w:tcPr>
          <w:p w:rsidR="001E0DE4" w:rsidRPr="004B032F" w:rsidRDefault="001E0DE4" w:rsidP="00BF539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t xml:space="preserve">Beschreiben Sie </w:t>
            </w:r>
            <w:r w:rsidR="003830DB">
              <w:rPr>
                <w:lang w:val="de-AT"/>
              </w:rPr>
              <w:t>das</w:t>
            </w:r>
            <w:r>
              <w:rPr>
                <w:lang w:val="de-AT"/>
              </w:rPr>
              <w:t xml:space="preserve"> </w:t>
            </w:r>
            <w:r w:rsidR="00BF539B">
              <w:rPr>
                <w:lang w:val="de-AT"/>
              </w:rPr>
              <w:t>Prinzip</w:t>
            </w:r>
            <w:r>
              <w:rPr>
                <w:lang w:val="de-AT"/>
              </w:rPr>
              <w:t xml:space="preserve"> der </w:t>
            </w:r>
            <w:r w:rsidR="003830DB">
              <w:rPr>
                <w:lang w:val="de-AT"/>
              </w:rPr>
              <w:t>staatlichen Pension</w:t>
            </w:r>
            <w:r w:rsidR="00190686">
              <w:rPr>
                <w:lang w:val="de-AT"/>
              </w:rPr>
              <w:t>s</w:t>
            </w:r>
            <w:r w:rsidR="00BF539B">
              <w:rPr>
                <w:lang w:val="de-AT"/>
              </w:rPr>
              <w:t>vorsorge</w:t>
            </w:r>
            <w:r w:rsidR="00190686">
              <w:rPr>
                <w:lang w:val="de-AT"/>
              </w:rPr>
              <w:t xml:space="preserve"> in Österreich</w:t>
            </w:r>
            <w:r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1E0DE4" w:rsidRPr="004B032F" w:rsidRDefault="001E0DE4" w:rsidP="00120FDD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</w:p>
        </w:tc>
      </w:tr>
      <w:tr w:rsidR="001E0DE4" w:rsidRPr="004B032F" w:rsidTr="004B032F">
        <w:tc>
          <w:tcPr>
            <w:tcW w:w="8188" w:type="dxa"/>
          </w:tcPr>
          <w:p w:rsidR="001E0DE4" w:rsidRPr="004B032F" w:rsidRDefault="003830DB" w:rsidP="00BF539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Erläutern Sie die Finanzierung der staatlichen Pension</w:t>
            </w:r>
            <w:r w:rsidR="001E0DE4" w:rsidRPr="004B032F">
              <w:rPr>
                <w:lang w:val="de-AT"/>
              </w:rPr>
              <w:t xml:space="preserve"> </w:t>
            </w:r>
            <w:r>
              <w:rPr>
                <w:lang w:val="de-AT"/>
              </w:rPr>
              <w:t>auf</w:t>
            </w:r>
            <w:r w:rsidR="00BF539B">
              <w:rPr>
                <w:lang w:val="de-AT"/>
              </w:rPr>
              <w:t xml:space="preserve"> Basis</w:t>
            </w:r>
            <w:r>
              <w:rPr>
                <w:lang w:val="de-AT"/>
              </w:rPr>
              <w:t xml:space="preserve"> der </w:t>
            </w:r>
            <w:r w:rsidR="001E0DE4" w:rsidRPr="004B032F">
              <w:rPr>
                <w:lang w:val="de-AT"/>
              </w:rPr>
              <w:t xml:space="preserve">Altersstruktur der österreichischen Bevölkerung von </w:t>
            </w:r>
            <w:r w:rsidR="001E0DE4">
              <w:rPr>
                <w:lang w:val="de-AT"/>
              </w:rPr>
              <w:t>19</w:t>
            </w:r>
            <w:r>
              <w:rPr>
                <w:lang w:val="de-AT"/>
              </w:rPr>
              <w:t>6</w:t>
            </w:r>
            <w:r w:rsidR="001E0DE4">
              <w:rPr>
                <w:lang w:val="de-AT"/>
              </w:rPr>
              <w:t>1</w:t>
            </w:r>
            <w:r>
              <w:rPr>
                <w:lang w:val="de-AT"/>
              </w:rPr>
              <w:t xml:space="preserve"> und 2011</w:t>
            </w:r>
            <w:r w:rsidR="001E0DE4" w:rsidRPr="004B032F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1E0DE4" w:rsidRPr="004B032F" w:rsidRDefault="001E0DE4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II</w:t>
            </w:r>
          </w:p>
        </w:tc>
      </w:tr>
      <w:tr w:rsidR="001E0DE4" w:rsidRPr="004B032F" w:rsidTr="004B032F">
        <w:tc>
          <w:tcPr>
            <w:tcW w:w="8188" w:type="dxa"/>
          </w:tcPr>
          <w:p w:rsidR="001E0DE4" w:rsidRPr="004B032F" w:rsidRDefault="00190686" w:rsidP="00190686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Erläutern</w:t>
            </w:r>
            <w:r w:rsidR="001E0DE4" w:rsidRPr="004B032F">
              <w:rPr>
                <w:lang w:val="de-AT"/>
              </w:rPr>
              <w:t xml:space="preserve"> </w:t>
            </w:r>
            <w:r w:rsidR="003830DB">
              <w:rPr>
                <w:lang w:val="de-AT"/>
              </w:rPr>
              <w:t>Sie weitere Möglichkeiten der Altersvorsorge</w:t>
            </w:r>
            <w:r>
              <w:rPr>
                <w:lang w:val="de-AT"/>
              </w:rPr>
              <w:t>, insbesondere die im Zeitungsartikel in Abb. 2 angesprochenen Möglichkeiten</w:t>
            </w:r>
            <w:r w:rsidR="003830DB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1E0DE4" w:rsidRPr="004B032F" w:rsidRDefault="003830DB" w:rsidP="004B032F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AFB I</w:t>
            </w:r>
            <w:r w:rsidR="00190686">
              <w:rPr>
                <w:sz w:val="18"/>
                <w:lang w:val="de-AT"/>
              </w:rPr>
              <w:t>I</w:t>
            </w:r>
            <w:bookmarkStart w:id="0" w:name="_GoBack"/>
            <w:bookmarkEnd w:id="0"/>
          </w:p>
        </w:tc>
      </w:tr>
      <w:tr w:rsidR="001E0DE4" w:rsidRPr="004B032F" w:rsidTr="004B032F">
        <w:tc>
          <w:tcPr>
            <w:tcW w:w="8188" w:type="dxa"/>
          </w:tcPr>
          <w:p w:rsidR="001E0DE4" w:rsidRPr="00277E0A" w:rsidRDefault="00190686" w:rsidP="00BF539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Schätzen Sie Ihre Lage in zehn Jahren ab und überlegen Sie, welche Maßnahmen der Altersvorsorge Sie dann vielleicht setzen werden.</w:t>
            </w:r>
          </w:p>
        </w:tc>
        <w:tc>
          <w:tcPr>
            <w:tcW w:w="1100" w:type="dxa"/>
          </w:tcPr>
          <w:p w:rsidR="001E0DE4" w:rsidRPr="004B032F" w:rsidRDefault="001E0DE4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  <w:r w:rsidR="00277E0A">
              <w:rPr>
                <w:sz w:val="18"/>
                <w:lang w:val="de-AT"/>
              </w:rPr>
              <w:t>I</w:t>
            </w:r>
            <w:r w:rsidR="00190686">
              <w:rPr>
                <w:sz w:val="18"/>
                <w:lang w:val="de-AT"/>
              </w:rPr>
              <w:t>I</w:t>
            </w:r>
          </w:p>
        </w:tc>
      </w:tr>
    </w:tbl>
    <w:p w:rsidR="004B032F" w:rsidRDefault="004B032F" w:rsidP="004B032F">
      <w:pPr>
        <w:rPr>
          <w:lang w:val="de-AT"/>
        </w:rPr>
      </w:pPr>
    </w:p>
    <w:p w:rsidR="00190686" w:rsidRDefault="00190686" w:rsidP="004B032F">
      <w:pPr>
        <w:rPr>
          <w:lang w:val="de-AT"/>
        </w:rPr>
      </w:pPr>
    </w:p>
    <w:p w:rsidR="00190686" w:rsidRDefault="00190686" w:rsidP="004B032F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4B032F" w:rsidTr="004B032F">
        <w:tc>
          <w:tcPr>
            <w:tcW w:w="7610" w:type="dxa"/>
          </w:tcPr>
          <w:p w:rsidR="004B032F" w:rsidRDefault="003830DB" w:rsidP="00C25D9A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3E9D22C" wp14:editId="3C308EA4">
                  <wp:extent cx="2788391" cy="2110657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6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53" cy="210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4B032F" w:rsidRDefault="004B032F" w:rsidP="00C25D9A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2DDD0D4F" wp14:editId="1454607A">
                  <wp:extent cx="2796589" cy="2113472"/>
                  <wp:effectExtent l="0" t="0" r="381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20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381" cy="211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32F" w:rsidTr="004B032F">
        <w:tc>
          <w:tcPr>
            <w:tcW w:w="7610" w:type="dxa"/>
          </w:tcPr>
          <w:p w:rsidR="004B032F" w:rsidRDefault="004B032F" w:rsidP="003830DB">
            <w:pPr>
              <w:rPr>
                <w:lang w:val="de-AT"/>
              </w:rPr>
            </w:pPr>
            <w:r>
              <w:rPr>
                <w:lang w:val="de-AT"/>
              </w:rPr>
              <w:t xml:space="preserve">Abb. 1: </w:t>
            </w:r>
            <w:r w:rsidR="003830DB">
              <w:rPr>
                <w:lang w:val="de-AT"/>
              </w:rPr>
              <w:t>Altersstruktur</w:t>
            </w:r>
            <w:r>
              <w:rPr>
                <w:lang w:val="de-AT"/>
              </w:rPr>
              <w:t xml:space="preserve"> Österreich</w:t>
            </w:r>
            <w:r w:rsidR="003830DB">
              <w:rPr>
                <w:lang w:val="de-AT"/>
              </w:rPr>
              <w:t>s</w:t>
            </w:r>
            <w:r>
              <w:rPr>
                <w:lang w:val="de-AT"/>
              </w:rPr>
              <w:t xml:space="preserve"> 19</w:t>
            </w:r>
            <w:r w:rsidR="003830DB">
              <w:rPr>
                <w:lang w:val="de-AT"/>
              </w:rPr>
              <w:t>6</w:t>
            </w:r>
            <w:r>
              <w:rPr>
                <w:lang w:val="de-AT"/>
              </w:rPr>
              <w:t>1</w:t>
            </w:r>
          </w:p>
        </w:tc>
        <w:tc>
          <w:tcPr>
            <w:tcW w:w="958" w:type="dxa"/>
          </w:tcPr>
          <w:p w:rsidR="004B032F" w:rsidRDefault="004B032F" w:rsidP="003830DB">
            <w:pPr>
              <w:rPr>
                <w:lang w:val="de-AT"/>
              </w:rPr>
            </w:pPr>
            <w:r>
              <w:rPr>
                <w:lang w:val="de-AT"/>
              </w:rPr>
              <w:t xml:space="preserve">Abb. 2: </w:t>
            </w:r>
            <w:r w:rsidR="003830DB">
              <w:rPr>
                <w:lang w:val="de-AT"/>
              </w:rPr>
              <w:t>Altersstruktur Österreichs</w:t>
            </w:r>
            <w:r>
              <w:rPr>
                <w:lang w:val="de-AT"/>
              </w:rPr>
              <w:t xml:space="preserve"> 2011</w:t>
            </w:r>
          </w:p>
        </w:tc>
      </w:tr>
    </w:tbl>
    <w:p w:rsidR="00190686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</w:pPr>
    </w:p>
    <w:p w:rsidR="00190686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</w:pPr>
    </w:p>
    <w:p w:rsidR="00190686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</w:pPr>
    </w:p>
    <w:p w:rsidR="00190686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</w:pPr>
    </w:p>
    <w:p w:rsidR="00190686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  <w:sectPr w:rsidR="00190686" w:rsidSect="00190686">
          <w:type w:val="continuous"/>
          <w:pgSz w:w="11906" w:h="16838"/>
          <w:pgMar w:top="1417" w:right="1417" w:bottom="426" w:left="1417" w:header="708" w:footer="708" w:gutter="0"/>
          <w:cols w:space="282"/>
          <w:docGrid w:linePitch="360"/>
        </w:sectPr>
      </w:pPr>
    </w:p>
    <w:p w:rsidR="005261F5" w:rsidRPr="005261F5" w:rsidRDefault="00190686" w:rsidP="005261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</w:pPr>
      <w:r>
        <w:rPr>
          <w:rFonts w:ascii="Arial" w:eastAsia="Times New Roman" w:hAnsi="Arial" w:cs="Arial"/>
          <w:b/>
          <w:bCs/>
          <w:color w:val="00468E"/>
          <w:kern w:val="36"/>
          <w:sz w:val="18"/>
          <w:szCs w:val="18"/>
          <w:lang w:val="de-AT" w:eastAsia="de-AT"/>
        </w:rPr>
        <w:lastRenderedPageBreak/>
        <w:t>Abb. 2: o. A. (2013) Bausparen für das Alter.-</w:t>
      </w:r>
    </w:p>
    <w:p w:rsidR="00190686" w:rsidRPr="005261F5" w:rsidRDefault="00190686" w:rsidP="00526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</w:pPr>
      <w:r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  <w:t>In: Die Presse. 18</w:t>
      </w:r>
      <w:r w:rsidR="005261F5" w:rsidRPr="005261F5"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  <w:t>.0</w:t>
      </w:r>
      <w:r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  <w:t xml:space="preserve">2.2013. Web: </w:t>
      </w:r>
      <w:r w:rsidRPr="00190686"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  <w:t>http://diepresse.com/home/meingeld/finanzierung/1345770/Bausparen-fuer-das-Alter?from=suche.intern.portal</w:t>
      </w:r>
      <w:r>
        <w:rPr>
          <w:rFonts w:ascii="Verdana" w:eastAsia="Times New Roman" w:hAnsi="Verdana" w:cs="Times New Roman"/>
          <w:color w:val="A2A7BC"/>
          <w:sz w:val="18"/>
          <w:szCs w:val="18"/>
          <w:lang w:val="de-AT" w:eastAsia="de-AT"/>
        </w:rPr>
        <w:t xml:space="preserve"> (26.2.2013)</w:t>
      </w:r>
    </w:p>
    <w:p w:rsidR="00DB54B4" w:rsidRPr="005261F5" w:rsidRDefault="00DB54B4" w:rsidP="0052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18"/>
          <w:szCs w:val="18"/>
          <w:lang w:val="de-AT" w:eastAsia="de-AT"/>
        </w:rPr>
      </w:pPr>
    </w:p>
    <w:p w:rsidR="00190686" w:rsidRPr="00190686" w:rsidRDefault="00190686" w:rsidP="00190686">
      <w:pPr>
        <w:shd w:val="clear" w:color="auto" w:fill="FFFFFF"/>
        <w:spacing w:after="150" w:line="336" w:lineRule="atLeast"/>
        <w:outlineLvl w:val="2"/>
        <w:rPr>
          <w:rFonts w:ascii="Arial" w:eastAsia="Times New Roman" w:hAnsi="Arial" w:cs="Arial"/>
          <w:b/>
          <w:bCs/>
          <w:color w:val="313131"/>
          <w:sz w:val="18"/>
          <w:szCs w:val="18"/>
          <w:lang w:val="de-AT" w:eastAsia="de-AT"/>
        </w:rPr>
      </w:pPr>
      <w:r w:rsidRPr="00190686">
        <w:rPr>
          <w:rFonts w:ascii="Arial" w:eastAsia="Times New Roman" w:hAnsi="Arial" w:cs="Arial"/>
          <w:b/>
          <w:bCs/>
          <w:color w:val="313131"/>
          <w:sz w:val="18"/>
          <w:szCs w:val="18"/>
          <w:lang w:val="de-AT" w:eastAsia="de-AT"/>
        </w:rPr>
        <w:t>Riester-Rente als Vorbild</w:t>
      </w:r>
    </w:p>
    <w:p w:rsidR="005261F5" w:rsidRDefault="00190686" w:rsidP="00190686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</w:pPr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t xml:space="preserve">Die Anbieter planen nun neue geförderte Produkte, bei denen freilich die Politik ein Wörtchen mitzureden hätte. So würden die Bausparkassen gern ein gefördertes Altersvorsorge-Produkt anbieten. Dieses könnte etwa eine viel längere Laufzeit haben als sechs Jahre, meint Raiffeisen-Bausparkassen-Chef </w:t>
      </w:r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lastRenderedPageBreak/>
        <w:t xml:space="preserve">Manfred </w:t>
      </w:r>
      <w:proofErr w:type="spellStart"/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t>Url</w:t>
      </w:r>
      <w:proofErr w:type="spellEnd"/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t xml:space="preserve">. Auch könnte es eine Verrentungsmöglichkeit geben, wenn man das Kapital doch nicht zur Wohnraumbeschaffung braucht. Doch auch Wohnraumbeschaffung sei eine Art Altersvorsorge, meint Url: Wer in der Pension im eigenen Haus oder der eigenen Wohnung lebe, könne viel Geld sparen. „Das wirkt sich quasi wie eine monatliche Zusatzpension aus“, so </w:t>
      </w:r>
      <w:proofErr w:type="spellStart"/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t>Url</w:t>
      </w:r>
      <w:proofErr w:type="spellEnd"/>
      <w:r w:rsidRPr="00190686"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t>. Als Vorbild diene dabei die Riester-Rente in Deutschland, die in hohem Maße für Wohnraumschaffung verwendet werde.</w:t>
      </w:r>
    </w:p>
    <w:p w:rsidR="00190686" w:rsidRPr="00190686" w:rsidRDefault="00190686" w:rsidP="00190686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313131"/>
          <w:sz w:val="18"/>
          <w:szCs w:val="18"/>
          <w:lang w:val="de-AT" w:eastAsia="de-AT"/>
        </w:rPr>
        <w:sectPr w:rsidR="00190686" w:rsidRPr="00190686" w:rsidSect="00190686">
          <w:type w:val="continuous"/>
          <w:pgSz w:w="11906" w:h="16838"/>
          <w:pgMar w:top="1417" w:right="1417" w:bottom="426" w:left="1417" w:header="708" w:footer="708" w:gutter="0"/>
          <w:cols w:num="2" w:space="282"/>
          <w:docGrid w:linePitch="360"/>
        </w:sectPr>
      </w:pPr>
    </w:p>
    <w:p w:rsidR="00DB54B4" w:rsidRDefault="00DB54B4" w:rsidP="00190686">
      <w:pPr>
        <w:rPr>
          <w:lang w:val="de-AT"/>
        </w:rPr>
      </w:pPr>
    </w:p>
    <w:sectPr w:rsidR="00DB54B4" w:rsidSect="00190686">
      <w:type w:val="continuous"/>
      <w:pgSz w:w="11906" w:h="16838"/>
      <w:pgMar w:top="1417" w:right="1417" w:bottom="426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FF3"/>
    <w:multiLevelType w:val="multilevel"/>
    <w:tmpl w:val="AE6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90BFF"/>
    <w:multiLevelType w:val="hybridMultilevel"/>
    <w:tmpl w:val="DA348A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8"/>
    <w:rsid w:val="00041D86"/>
    <w:rsid w:val="000C3945"/>
    <w:rsid w:val="00190686"/>
    <w:rsid w:val="001E0DE4"/>
    <w:rsid w:val="00260136"/>
    <w:rsid w:val="00277E0A"/>
    <w:rsid w:val="003830DB"/>
    <w:rsid w:val="004B032F"/>
    <w:rsid w:val="004D5232"/>
    <w:rsid w:val="005261F5"/>
    <w:rsid w:val="007814C5"/>
    <w:rsid w:val="008659E5"/>
    <w:rsid w:val="00945F43"/>
    <w:rsid w:val="00972407"/>
    <w:rsid w:val="00B31BEB"/>
    <w:rsid w:val="00B611BD"/>
    <w:rsid w:val="00BA22D8"/>
    <w:rsid w:val="00BF539B"/>
    <w:rsid w:val="00D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261F5"/>
    <w:rPr>
      <w:b/>
      <w:bCs/>
      <w:strike w:val="0"/>
      <w:dstrike w:val="0"/>
      <w:color w:val="00468E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261F5"/>
    <w:rPr>
      <w:b/>
      <w:bCs/>
    </w:rPr>
  </w:style>
  <w:style w:type="paragraph" w:customStyle="1" w:styleId="articlelead">
    <w:name w:val="articlelead"/>
    <w:basedOn w:val="Standard"/>
    <w:rsid w:val="005261F5"/>
    <w:pPr>
      <w:spacing w:after="150" w:line="312" w:lineRule="atLeast"/>
    </w:pPr>
    <w:rPr>
      <w:rFonts w:ascii="Arial" w:eastAsia="Times New Roman" w:hAnsi="Arial" w:cs="Arial"/>
      <w:sz w:val="23"/>
      <w:szCs w:val="23"/>
      <w:lang w:val="de-AT" w:eastAsia="de-AT"/>
    </w:rPr>
  </w:style>
  <w:style w:type="paragraph" w:customStyle="1" w:styleId="articletime">
    <w:name w:val="articletime"/>
    <w:basedOn w:val="Standard"/>
    <w:rsid w:val="005261F5"/>
    <w:pPr>
      <w:spacing w:after="0" w:line="240" w:lineRule="auto"/>
    </w:pPr>
    <w:rPr>
      <w:rFonts w:ascii="Times New Roman" w:eastAsia="Times New Roman" w:hAnsi="Times New Roman" w:cs="Times New Roman"/>
      <w:color w:val="A2A7BC"/>
      <w:sz w:val="17"/>
      <w:szCs w:val="17"/>
      <w:lang w:val="de-AT" w:eastAsia="de-AT"/>
    </w:rPr>
  </w:style>
  <w:style w:type="character" w:customStyle="1" w:styleId="articleicon2">
    <w:name w:val="articleicon2"/>
    <w:basedOn w:val="Absatz-Standardschriftart"/>
    <w:rsid w:val="005261F5"/>
    <w:rPr>
      <w:vanish w:val="0"/>
      <w:webHidden w:val="0"/>
      <w:color w:val="00468E"/>
      <w:specVanish w:val="0"/>
    </w:rPr>
  </w:style>
  <w:style w:type="character" w:customStyle="1" w:styleId="click4">
    <w:name w:val="click4"/>
    <w:basedOn w:val="Absatz-Standardschriftart"/>
    <w:rsid w:val="005261F5"/>
    <w:rPr>
      <w:color w:val="00468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261F5"/>
    <w:rPr>
      <w:b/>
      <w:bCs/>
      <w:strike w:val="0"/>
      <w:dstrike w:val="0"/>
      <w:color w:val="00468E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261F5"/>
    <w:rPr>
      <w:b/>
      <w:bCs/>
    </w:rPr>
  </w:style>
  <w:style w:type="paragraph" w:customStyle="1" w:styleId="articlelead">
    <w:name w:val="articlelead"/>
    <w:basedOn w:val="Standard"/>
    <w:rsid w:val="005261F5"/>
    <w:pPr>
      <w:spacing w:after="150" w:line="312" w:lineRule="atLeast"/>
    </w:pPr>
    <w:rPr>
      <w:rFonts w:ascii="Arial" w:eastAsia="Times New Roman" w:hAnsi="Arial" w:cs="Arial"/>
      <w:sz w:val="23"/>
      <w:szCs w:val="23"/>
      <w:lang w:val="de-AT" w:eastAsia="de-AT"/>
    </w:rPr>
  </w:style>
  <w:style w:type="paragraph" w:customStyle="1" w:styleId="articletime">
    <w:name w:val="articletime"/>
    <w:basedOn w:val="Standard"/>
    <w:rsid w:val="005261F5"/>
    <w:pPr>
      <w:spacing w:after="0" w:line="240" w:lineRule="auto"/>
    </w:pPr>
    <w:rPr>
      <w:rFonts w:ascii="Times New Roman" w:eastAsia="Times New Roman" w:hAnsi="Times New Roman" w:cs="Times New Roman"/>
      <w:color w:val="A2A7BC"/>
      <w:sz w:val="17"/>
      <w:szCs w:val="17"/>
      <w:lang w:val="de-AT" w:eastAsia="de-AT"/>
    </w:rPr>
  </w:style>
  <w:style w:type="character" w:customStyle="1" w:styleId="articleicon2">
    <w:name w:val="articleicon2"/>
    <w:basedOn w:val="Absatz-Standardschriftart"/>
    <w:rsid w:val="005261F5"/>
    <w:rPr>
      <w:vanish w:val="0"/>
      <w:webHidden w:val="0"/>
      <w:color w:val="00468E"/>
      <w:specVanish w:val="0"/>
    </w:rPr>
  </w:style>
  <w:style w:type="character" w:customStyle="1" w:styleId="click4">
    <w:name w:val="click4"/>
    <w:basedOn w:val="Absatz-Standardschriftart"/>
    <w:rsid w:val="005261F5"/>
    <w:rPr>
      <w:color w:val="0046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9B3BF"/>
              </w:divBdr>
              <w:divsChild>
                <w:div w:id="1202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796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91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5344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A3A3"/>
                                            <w:left w:val="single" w:sz="6" w:space="4" w:color="A3A3A3"/>
                                            <w:bottom w:val="single" w:sz="6" w:space="4" w:color="A3A3A3"/>
                                            <w:right w:val="single" w:sz="6" w:space="4" w:color="A3A3A3"/>
                                          </w:divBdr>
                                        </w:div>
                                        <w:div w:id="144896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454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0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9B3BF"/>
              </w:divBdr>
              <w:divsChild>
                <w:div w:id="946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7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69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48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2013-02-04T02:04:00Z</cp:lastPrinted>
  <dcterms:created xsi:type="dcterms:W3CDTF">2013-02-26T04:36:00Z</dcterms:created>
  <dcterms:modified xsi:type="dcterms:W3CDTF">2013-02-26T04:36:00Z</dcterms:modified>
</cp:coreProperties>
</file>