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30ED" w14:textId="07EE8B7E" w:rsidR="002D79B0" w:rsidRPr="00ED3475" w:rsidRDefault="0080703B" w:rsidP="008C6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de-DE"/>
        </w:rPr>
      </w:pPr>
      <w:r w:rsidRPr="00ED3475">
        <w:rPr>
          <w:b/>
          <w:bCs/>
          <w:sz w:val="32"/>
          <w:szCs w:val="32"/>
          <w:lang w:val="de-DE"/>
        </w:rPr>
        <w:t>Märkte</w:t>
      </w:r>
    </w:p>
    <w:p w14:paraId="298331B0" w14:textId="4E0208AB" w:rsidR="000D47FF" w:rsidRPr="00B71545" w:rsidRDefault="000D47FF" w:rsidP="008D43F1">
      <w:pPr>
        <w:rPr>
          <w:lang w:val="de-DE"/>
        </w:rPr>
      </w:pPr>
      <w:r w:rsidRPr="008C628E">
        <w:rPr>
          <w:b/>
          <w:bCs/>
          <w:shd w:val="clear" w:color="auto" w:fill="E2EFD9" w:themeFill="accent6" w:themeFillTint="33"/>
          <w:lang w:val="de-DE"/>
        </w:rPr>
        <w:t>These 1</w:t>
      </w:r>
      <w:r w:rsidRPr="008C628E">
        <w:rPr>
          <w:shd w:val="clear" w:color="auto" w:fill="E2EFD9" w:themeFill="accent6" w:themeFillTint="33"/>
          <w:lang w:val="de-DE"/>
        </w:rPr>
        <w:t>:</w:t>
      </w:r>
      <w:r w:rsidRPr="00B71545">
        <w:rPr>
          <w:lang w:val="de-DE"/>
        </w:rPr>
        <w:t xml:space="preserve"> </w:t>
      </w:r>
      <w:r w:rsidR="0008761D">
        <w:rPr>
          <w:lang w:val="de-DE"/>
        </w:rPr>
        <w:t>Märkten haben folgende Funktionen: Preisbildungsfunktion, Koordinationsfunktion, Versorgungsfunktion, Verteilungsfunktion.</w:t>
      </w:r>
    </w:p>
    <w:p w14:paraId="1FAFABE3" w14:textId="5514CF6C" w:rsidR="00471523" w:rsidRPr="00B71545" w:rsidRDefault="000D47FF" w:rsidP="008D43F1">
      <w:r w:rsidRPr="008C628E">
        <w:rPr>
          <w:b/>
          <w:bCs/>
          <w:shd w:val="clear" w:color="auto" w:fill="C5D3FF"/>
          <w:lang w:val="de-DE"/>
        </w:rPr>
        <w:t>These 2:</w:t>
      </w:r>
      <w:r w:rsidRPr="00B71545">
        <w:rPr>
          <w:lang w:val="de-DE"/>
        </w:rPr>
        <w:t xml:space="preserve"> Ein Markt ist </w:t>
      </w:r>
      <w:r w:rsidR="00471523" w:rsidRPr="00B71545">
        <w:t>eine soziale Struktur für den</w:t>
      </w:r>
      <w:r w:rsidR="00924E67" w:rsidRPr="00B71545">
        <w:t xml:space="preserve"> freiwilligen</w:t>
      </w:r>
      <w:r w:rsidR="00471523" w:rsidRPr="00B71545">
        <w:t xml:space="preserve"> Austausch von Rechten, in der Angebote bewertet und mit Preisen versehen werden und miteinander konkurrieren</w:t>
      </w:r>
      <w:r w:rsidR="00780470" w:rsidRPr="00B71545">
        <w:t>.</w:t>
      </w:r>
      <w:r w:rsidR="00621F06" w:rsidRPr="00B71545">
        <w:t xml:space="preserve"> </w:t>
      </w:r>
      <w:r w:rsidR="0069575E" w:rsidRPr="00B71545">
        <w:t xml:space="preserve">Der Austausch erfolgt friedlich, sofern die Eigentumsrechte akzeptiert sind. </w:t>
      </w:r>
      <w:r w:rsidR="00502F14">
        <w:t>Der Wettbewerb</w:t>
      </w:r>
      <w:r w:rsidR="00863454">
        <w:t xml:space="preserve"> der Rechte</w:t>
      </w:r>
      <w:r w:rsidR="00502F14">
        <w:t xml:space="preserve"> gestaltet sich über</w:t>
      </w:r>
      <w:r w:rsidR="0049062E">
        <w:t xml:space="preserve"> den Preis, Innovationen, Qualität, Service und Stil</w:t>
      </w:r>
      <w:r w:rsidR="00F951A9">
        <w:t>.</w:t>
      </w:r>
    </w:p>
    <w:p w14:paraId="4524B58E" w14:textId="49212B77" w:rsidR="00471523" w:rsidRPr="00B71545" w:rsidRDefault="0069575E" w:rsidP="008D43F1">
      <w:r w:rsidRPr="008C628E">
        <w:rPr>
          <w:b/>
          <w:bCs/>
          <w:shd w:val="clear" w:color="auto" w:fill="FBE4D5" w:themeFill="accent2" w:themeFillTint="33"/>
          <w:lang w:val="de-DE"/>
        </w:rPr>
        <w:t>These 3:</w:t>
      </w:r>
      <w:r w:rsidRPr="00B71545">
        <w:t xml:space="preserve"> </w:t>
      </w:r>
      <w:r w:rsidRPr="0069575E">
        <w:t xml:space="preserve">Ein Handel </w:t>
      </w:r>
      <w:r w:rsidRPr="00B71545">
        <w:t xml:space="preserve">zwischen zwei Akteuren </w:t>
      </w:r>
      <w:r w:rsidRPr="0069575E">
        <w:t xml:space="preserve">bestätigt nicht das Vorhandensein eines Marktes, da für einen Markt </w:t>
      </w:r>
      <w:r w:rsidR="00456B46">
        <w:t xml:space="preserve">mindestens </w:t>
      </w:r>
      <w:r w:rsidRPr="0069575E">
        <w:t xml:space="preserve">auf einer Seite zwei Akteure vorhanden sein </w:t>
      </w:r>
      <w:r w:rsidR="008D43F1">
        <w:t>s</w:t>
      </w:r>
      <w:r w:rsidRPr="0069575E">
        <w:t>müssen</w:t>
      </w:r>
      <w:r w:rsidR="00B71545">
        <w:t>.</w:t>
      </w:r>
    </w:p>
    <w:p w14:paraId="45662EC7" w14:textId="2660E3CD" w:rsidR="00471523" w:rsidRPr="00B71545" w:rsidRDefault="00944885" w:rsidP="008D43F1">
      <w:r w:rsidRPr="008C628E">
        <w:rPr>
          <w:b/>
          <w:bCs/>
          <w:shd w:val="clear" w:color="auto" w:fill="F9DFF9"/>
          <w:lang w:val="de-DE"/>
        </w:rPr>
        <w:t xml:space="preserve">These </w:t>
      </w:r>
      <w:r w:rsidR="00F72ED1" w:rsidRPr="008C628E">
        <w:rPr>
          <w:b/>
          <w:bCs/>
          <w:shd w:val="clear" w:color="auto" w:fill="F9DFF9"/>
          <w:lang w:val="de-DE"/>
        </w:rPr>
        <w:t>4</w:t>
      </w:r>
      <w:r w:rsidRPr="008C628E">
        <w:rPr>
          <w:b/>
          <w:bCs/>
          <w:shd w:val="clear" w:color="auto" w:fill="F9DFF9"/>
          <w:lang w:val="de-DE"/>
        </w:rPr>
        <w:t>:</w:t>
      </w:r>
      <w:r w:rsidRPr="00B71545">
        <w:rPr>
          <w:lang w:val="de-DE"/>
        </w:rPr>
        <w:t xml:space="preserve"> </w:t>
      </w:r>
      <w:r w:rsidR="007768EC" w:rsidRPr="00B71545">
        <w:t xml:space="preserve">Die Struktur eines Marktes wird durch die Anzahl der </w:t>
      </w:r>
      <w:r w:rsidR="00C02554" w:rsidRPr="00B71545">
        <w:t>t</w:t>
      </w:r>
      <w:r w:rsidR="007768EC" w:rsidRPr="00B71545">
        <w:t xml:space="preserve">eilnehmenden </w:t>
      </w:r>
      <w:r w:rsidR="00C02554" w:rsidRPr="00B71545">
        <w:t xml:space="preserve">Anbietern und Nachfragern </w:t>
      </w:r>
      <w:r w:rsidR="007768EC" w:rsidRPr="00B71545">
        <w:t xml:space="preserve">bestimmt, woraus sich </w:t>
      </w:r>
      <w:r w:rsidR="00C02554" w:rsidRPr="00B71545">
        <w:t xml:space="preserve">unterschiedliche </w:t>
      </w:r>
      <w:r w:rsidR="007768EC" w:rsidRPr="00B71545">
        <w:t>Marktformen ergebe</w:t>
      </w:r>
      <w:r w:rsidR="00C02554" w:rsidRPr="00B71545">
        <w:t>n.</w:t>
      </w:r>
      <w:r w:rsidR="00446F58" w:rsidRPr="00B71545">
        <w:t xml:space="preserve"> Ausschlaggebend für die Abgrenzung </w:t>
      </w:r>
      <w:r w:rsidR="00F72ED1" w:rsidRPr="00B71545">
        <w:t>zwischen den Marktformen</w:t>
      </w:r>
      <w:r w:rsidR="00446F58" w:rsidRPr="00B71545">
        <w:t xml:space="preserve"> ist der Einfuss, den einzelne Anbieter beziehungsweise Nachfrager ausüben können</w:t>
      </w:r>
      <w:r w:rsidR="00F72ED1" w:rsidRPr="00B71545">
        <w:t xml:space="preserve"> – also die Marktmacht.</w:t>
      </w:r>
    </w:p>
    <w:p w14:paraId="36413052" w14:textId="48062806" w:rsidR="00B71545" w:rsidRDefault="00944885" w:rsidP="008D43F1">
      <w:pPr>
        <w:rPr>
          <w:lang w:val="de-DE"/>
        </w:rPr>
      </w:pPr>
      <w:r w:rsidRPr="008C628E">
        <w:rPr>
          <w:b/>
          <w:bCs/>
          <w:shd w:val="clear" w:color="auto" w:fill="FFE599" w:themeFill="accent4" w:themeFillTint="66"/>
          <w:lang w:val="de-DE"/>
        </w:rPr>
        <w:t xml:space="preserve">These </w:t>
      </w:r>
      <w:r w:rsidR="00F72ED1" w:rsidRPr="008C628E">
        <w:rPr>
          <w:b/>
          <w:bCs/>
          <w:shd w:val="clear" w:color="auto" w:fill="FFE599" w:themeFill="accent4" w:themeFillTint="66"/>
          <w:lang w:val="de-DE"/>
        </w:rPr>
        <w:t>5</w:t>
      </w:r>
      <w:r w:rsidRPr="0058308C">
        <w:rPr>
          <w:b/>
          <w:bCs/>
          <w:lang w:val="de-DE"/>
        </w:rPr>
        <w:t xml:space="preserve">: </w:t>
      </w:r>
      <w:r w:rsidR="003D17D4" w:rsidRPr="003917B6">
        <w:rPr>
          <w:lang w:val="de-DE"/>
        </w:rPr>
        <w:t xml:space="preserve">Märkte können nicht sich selbst überlassen werden, da sie nicht </w:t>
      </w:r>
      <w:r w:rsidR="00827D5D" w:rsidRPr="003917B6">
        <w:rPr>
          <w:lang w:val="de-DE"/>
        </w:rPr>
        <w:t>moralisch</w:t>
      </w:r>
      <w:r w:rsidR="003D17D4" w:rsidRPr="003917B6">
        <w:rPr>
          <w:lang w:val="de-DE"/>
        </w:rPr>
        <w:t xml:space="preserve"> sind.</w:t>
      </w:r>
      <w:r w:rsidR="00FC3762" w:rsidRPr="003917B6">
        <w:rPr>
          <w:lang w:val="de-DE"/>
        </w:rPr>
        <w:t xml:space="preserve"> Regulierungen von Märkten </w:t>
      </w:r>
      <w:r w:rsidR="00456B46">
        <w:rPr>
          <w:lang w:val="de-DE"/>
        </w:rPr>
        <w:t xml:space="preserve">und von Marktmacht ist </w:t>
      </w:r>
      <w:r w:rsidR="00FC3762" w:rsidRPr="003917B6">
        <w:rPr>
          <w:lang w:val="de-DE"/>
        </w:rPr>
        <w:t xml:space="preserve">notwendig, um nachteilige Auswirkungen auf </w:t>
      </w:r>
      <w:r w:rsidR="00B71545" w:rsidRPr="003917B6">
        <w:rPr>
          <w:lang w:val="de-DE"/>
        </w:rPr>
        <w:t>Lebewesen</w:t>
      </w:r>
      <w:r w:rsidR="00FC3762" w:rsidRPr="003917B6">
        <w:rPr>
          <w:lang w:val="de-DE"/>
        </w:rPr>
        <w:t xml:space="preserve"> und Umwelt zu mindern.</w:t>
      </w:r>
    </w:p>
    <w:p w14:paraId="004925C5" w14:textId="4BD3A08E" w:rsidR="0080703B" w:rsidRPr="00ED3475" w:rsidRDefault="0080703B" w:rsidP="008C6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sz w:val="32"/>
          <w:szCs w:val="32"/>
          <w:lang w:val="de-DE"/>
        </w:rPr>
      </w:pPr>
      <w:r w:rsidRPr="00ED3475">
        <w:rPr>
          <w:b/>
          <w:bCs/>
          <w:sz w:val="32"/>
          <w:szCs w:val="32"/>
          <w:lang w:val="de-DE"/>
        </w:rPr>
        <w:t>Unterrichtseinsatz</w:t>
      </w:r>
      <w:sdt>
        <w:sdtPr>
          <w:rPr>
            <w:rFonts w:ascii="Calibri" w:hAnsi="Calibri" w:cs="Calibri"/>
            <w:b/>
            <w:color w:val="000000"/>
            <w:sz w:val="32"/>
            <w:szCs w:val="32"/>
          </w:rPr>
          <w:alias w:val="To edit, see citavi.com/edit"/>
          <w:tag w:val="CitaviPlaceholder#dd3e12e8-6bd5-a1ac-07a0-982d0c8c2012"/>
          <w:id w:val="1567230775"/>
        </w:sdtPr>
        <w:sdtContent>
          <w:r w:rsidR="00F14ED6" w:rsidRPr="00ED3475">
            <w:rPr>
              <w:rFonts w:ascii="Calibri" w:hAnsi="Calibri" w:cs="Calibri"/>
              <w:b/>
              <w:color w:val="000000"/>
              <w:sz w:val="32"/>
              <w:szCs w:val="32"/>
            </w:rPr>
            <w:fldChar w:fldCharType="begin"/>
          </w:r>
          <w:r w:rsidR="00F14ED6" w:rsidRPr="00ED3475">
            <w:rPr>
              <w:rFonts w:ascii="Calibri" w:hAnsi="Calibri" w:cs="Calibri"/>
              <w:b/>
              <w:color w:val="000000"/>
              <w:sz w:val="32"/>
              <w:szCs w:val="32"/>
            </w:rPr>
            <w:instrText>ADDIN CitaviPlaceholder{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}</w:instrText>
          </w:r>
          <w:r w:rsidR="00000000">
            <w:rPr>
              <w:rFonts w:ascii="Calibri" w:hAnsi="Calibri" w:cs="Calibri"/>
              <w:b/>
              <w:color w:val="000000"/>
              <w:sz w:val="32"/>
              <w:szCs w:val="32"/>
            </w:rPr>
            <w:fldChar w:fldCharType="separate"/>
          </w:r>
          <w:r w:rsidR="00F14ED6" w:rsidRPr="00ED3475">
            <w:rPr>
              <w:rFonts w:ascii="Calibri" w:hAnsi="Calibri" w:cs="Calibri"/>
              <w:b/>
              <w:color w:val="000000"/>
              <w:sz w:val="32"/>
              <w:szCs w:val="32"/>
            </w:rPr>
            <w:fldChar w:fldCharType="end"/>
          </w:r>
        </w:sdtContent>
      </w:sdt>
    </w:p>
    <w:p w14:paraId="33C266FA" w14:textId="7E5A3541" w:rsidR="007048A2" w:rsidRPr="007048A2" w:rsidRDefault="007048A2" w:rsidP="008225BC">
      <w:pPr>
        <w:spacing w:after="0"/>
      </w:pPr>
      <w:r w:rsidRPr="00A00552">
        <w:rPr>
          <w:i/>
          <w:iCs/>
          <w:lang w:val="de-DE"/>
        </w:rPr>
        <w:t>Basiskonzept: Märkte, Regulierung und Deregulierung</w:t>
      </w:r>
    </w:p>
    <w:p w14:paraId="47DBD3BC" w14:textId="4F7AC41D" w:rsidR="00A00552" w:rsidRPr="00A00552" w:rsidRDefault="00A00552" w:rsidP="008225BC">
      <w:pPr>
        <w:numPr>
          <w:ilvl w:val="0"/>
          <w:numId w:val="3"/>
        </w:numPr>
        <w:spacing w:after="0"/>
        <w:ind w:left="714" w:hanging="357"/>
      </w:pPr>
      <w:r w:rsidRPr="00A00552">
        <w:rPr>
          <w:lang w:val="de-DE"/>
        </w:rPr>
        <w:t>Lieferkettensorgfaltspflichtgesetz – ökologisch &amp; sozial nachhaltiger Konsum – durch Regulierung der Marktmacht</w:t>
      </w:r>
    </w:p>
    <w:p w14:paraId="5756A3BB" w14:textId="26848F5A" w:rsidR="00A00552" w:rsidRPr="00A00552" w:rsidRDefault="00A00552" w:rsidP="008225BC">
      <w:pPr>
        <w:numPr>
          <w:ilvl w:val="0"/>
          <w:numId w:val="3"/>
        </w:numPr>
        <w:spacing w:after="0"/>
        <w:ind w:left="714" w:hanging="357"/>
      </w:pPr>
      <w:r w:rsidRPr="00A00552">
        <w:t>Funktionen von Märkten</w:t>
      </w:r>
    </w:p>
    <w:p w14:paraId="31D42995" w14:textId="7E033378" w:rsidR="00A00552" w:rsidRPr="00A00552" w:rsidRDefault="00A00552" w:rsidP="008225BC">
      <w:pPr>
        <w:numPr>
          <w:ilvl w:val="0"/>
          <w:numId w:val="3"/>
        </w:numPr>
        <w:spacing w:after="0"/>
        <w:ind w:left="714" w:hanging="357"/>
      </w:pPr>
      <w:r w:rsidRPr="00A00552">
        <w:t>Marktformen</w:t>
      </w:r>
    </w:p>
    <w:p w14:paraId="334BFB24" w14:textId="77777777" w:rsidR="00A00552" w:rsidRDefault="00A00552" w:rsidP="008225BC">
      <w:pPr>
        <w:numPr>
          <w:ilvl w:val="0"/>
          <w:numId w:val="3"/>
        </w:numPr>
        <w:spacing w:after="0"/>
        <w:ind w:left="714" w:hanging="357"/>
      </w:pPr>
      <w:r w:rsidRPr="00A00552">
        <w:t>Notwendigkeit der Regulierung</w:t>
      </w:r>
    </w:p>
    <w:p w14:paraId="01FC6A0E" w14:textId="3573C5DF" w:rsidR="00ED3475" w:rsidRDefault="00000000" w:rsidP="00ED3475">
      <w:pPr>
        <w:pBdr>
          <w:between w:val="single" w:sz="4" w:space="1" w:color="auto"/>
        </w:pBdr>
      </w:pPr>
      <w:r>
        <w:pict w14:anchorId="357ADD58">
          <v:rect id="_x0000_i1025" style="width:0;height:1.5pt" o:hralign="center" o:hrstd="t" o:hr="t" fillcolor="#a0a0a0" stroked="f"/>
        </w:pict>
      </w:r>
    </w:p>
    <w:sdt>
      <w:sdtPr>
        <w:rPr>
          <w:rFonts w:asciiTheme="minorHAnsi" w:eastAsiaTheme="minorEastAsia" w:cstheme="minorBidi"/>
          <w:color w:val="auto"/>
          <w:sz w:val="18"/>
          <w:szCs w:val="18"/>
        </w:rPr>
        <w:alias w:val=""/>
        <w:tag w:val="CitaviBibliography"/>
        <w:id w:val="-724755752"/>
      </w:sdtPr>
      <w:sdtContent>
        <w:sdt>
          <w:sdtPr>
            <w:rPr>
              <w:rFonts w:asciiTheme="minorHAnsi" w:eastAsiaTheme="minorEastAsia" w:cstheme="minorBidi"/>
              <w:color w:val="auto"/>
              <w:sz w:val="18"/>
              <w:szCs w:val="18"/>
            </w:rPr>
            <w:alias w:val=""/>
            <w:tag w:val="CitaviBibliography"/>
            <w:id w:val="972033544"/>
          </w:sdtPr>
          <w:sdtContent>
            <w:p w14:paraId="445F1A77" w14:textId="77777777" w:rsidR="0062482F" w:rsidRPr="00F14ED6" w:rsidRDefault="0062482F" w:rsidP="00F14ED6">
              <w:pPr>
                <w:pStyle w:val="CitaviBibliographyHeading"/>
                <w:spacing w:before="0" w:line="240" w:lineRule="auto"/>
                <w:rPr>
                  <w:rFonts w:hAnsiTheme="majorHAnsi" w:cstheme="majorHAnsi"/>
                  <w:sz w:val="18"/>
                  <w:szCs w:val="18"/>
                </w:rPr>
              </w:pPr>
              <w:r w:rsidRPr="00F14ED6">
                <w:rPr>
                  <w:rFonts w:hAnsiTheme="majorHAnsi" w:cstheme="majorHAnsi"/>
                  <w:sz w:val="18"/>
                  <w:szCs w:val="18"/>
                </w:rPr>
                <w:fldChar w:fldCharType="begin"/>
              </w:r>
              <w:sdt>
                <w:sdtPr>
                  <w:rPr>
                    <w:rFonts w:hAnsiTheme="majorHAnsi" w:cstheme="majorHAnsi"/>
                    <w:sz w:val="18"/>
                    <w:szCs w:val="18"/>
                  </w:rPr>
                  <w:alias w:val=""/>
                  <w:tag w:val="CitaviBibliographyHeading"/>
                  <w:id w:val="-1480220074"/>
                  <w15:appearance w15:val="hidden"/>
                </w:sdtPr>
                <w:sdtContent>
                  <w:r w:rsidRPr="00F14ED6">
                    <w:rPr>
                      <w:rFonts w:hAnsiTheme="majorHAnsi" w:cstheme="majorHAnsi"/>
                      <w:sz w:val="18"/>
                      <w:szCs w:val="18"/>
                    </w:rPr>
                    <w:instrText>ADDIN CitaviBibliography</w:instrText>
                  </w:r>
                  <w:r w:rsidRPr="00F14ED6">
                    <w:rPr>
                      <w:rFonts w:hAnsiTheme="majorHAnsi" w:cstheme="majorHAnsi"/>
                      <w:sz w:val="18"/>
                      <w:szCs w:val="18"/>
                    </w:rPr>
                    <w:fldChar w:fldCharType="separate"/>
                  </w:r>
                  <w:r w:rsidRPr="00F14ED6">
                    <w:rPr>
                      <w:rFonts w:hAnsiTheme="majorHAnsi" w:cstheme="majorHAnsi"/>
                      <w:sz w:val="18"/>
                      <w:szCs w:val="18"/>
                    </w:rPr>
                    <w:t>Literaturverzeichnis</w:t>
                  </w:r>
                </w:sdtContent>
              </w:sdt>
            </w:p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"/>
                <w:tag w:val="BibliographyEntry0"/>
                <w:id w:val="602454407"/>
                <w15:appearance w15:val="hidden"/>
              </w:sdtPr>
              <w:sdtContent>
                <w:p w14:paraId="0F8723D8" w14:textId="77777777" w:rsidR="0062482F" w:rsidRPr="00F14ED6" w:rsidRDefault="0062482F" w:rsidP="00F14ED6">
                  <w:pPr>
                    <w:pStyle w:val="CitaviBibliographyEntry"/>
                    <w:spacing w:after="0"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14E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Aspers, Patrik (2015): Märkte: Springer Fachmedien Wiesbaden.</w:t>
                  </w:r>
                </w:p>
              </w:sdtContent>
            </w:sdt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"/>
                <w:tag w:val="BibliographyEntry1"/>
                <w:id w:val="-680277861"/>
                <w15:appearance w15:val="hidden"/>
              </w:sdtPr>
              <w:sdtContent>
                <w:p w14:paraId="4E76DC6D" w14:textId="77777777" w:rsidR="0062482F" w:rsidRPr="00F14ED6" w:rsidRDefault="0062482F" w:rsidP="00F14ED6">
                  <w:pPr>
                    <w:pStyle w:val="CitaviBibliographyEntry"/>
                    <w:spacing w:after="0"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14E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Aspers, Patrik; Beckert, Jens (2017): Märkte. In: Andrea Maurer (Hg.): Handbuch der Wirtschaftssoziologie. 2., aktualisierte und erweiterte Aufl. Wiesbaden: Springer Verlag (Handbuch), S. 215–240.</w:t>
                  </w:r>
                </w:p>
              </w:sdtContent>
            </w:sdt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"/>
                <w:tag w:val="BibliographyEntry2"/>
                <w:id w:val="1391381530"/>
                <w15:appearance w15:val="hidden"/>
              </w:sdtPr>
              <w:sdtContent>
                <w:p w14:paraId="40F31BF6" w14:textId="77777777" w:rsidR="0062482F" w:rsidRPr="00F14ED6" w:rsidRDefault="0062482F" w:rsidP="00F14ED6">
                  <w:pPr>
                    <w:pStyle w:val="CitaviBibliographyEntry"/>
                    <w:spacing w:after="0"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14E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Hinsch, Stefan (2017): Basiskonzepte im GW-Unterricht: Beispiel Märkte, Regulierung und Deregulierung. Wien. Online verfügbar unter https://austriaca.at/0xc1aa500e%200x0036c8a1.pdf.</w:t>
                  </w:r>
                </w:p>
                <w:p w14:paraId="185D8EA5" w14:textId="6533F932" w:rsidR="00F14ED6" w:rsidRPr="00F14ED6" w:rsidRDefault="00F14ED6" w:rsidP="00F14ED6">
                  <w:pPr>
                    <w:pStyle w:val="CitaviBibliographyEntry"/>
                    <w:spacing w:after="0"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14E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Kögler, Gottfried et. al. (2021): </w:t>
                  </w:r>
                  <w:r w:rsidRPr="00F14ED6">
                    <w:rPr>
                      <w:rFonts w:asciiTheme="majorHAnsi" w:hAnsiTheme="majorHAnsi" w:cstheme="majorHAnsi"/>
                      <w:sz w:val="18"/>
                      <w:szCs w:val="18"/>
                      <w:lang w:val="de-DE"/>
                    </w:rPr>
                    <w:t>Volkswirtschaft HAK V. 3. Auflage. Wien: Hölzel Verlag.</w:t>
                  </w:r>
                </w:p>
              </w:sdtContent>
            </w:sdt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"/>
                <w:tag w:val="BibliographyEntry3"/>
                <w:id w:val="1949276423"/>
                <w15:appearance w15:val="hidden"/>
              </w:sdtPr>
              <w:sdtContent>
                <w:p w14:paraId="49848874" w14:textId="77777777" w:rsidR="0062482F" w:rsidRPr="00F14ED6" w:rsidRDefault="0062482F" w:rsidP="00F14ED6">
                  <w:pPr>
                    <w:pStyle w:val="CitaviBibliographyEntry"/>
                    <w:spacing w:after="0"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14E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Moldaschl, Manfred (2015): Wie lehrt man Sozioökonomie? Hochschuldidaktik. In: Reinhold Hedtke (Hg.): Was ist und wozu Sozioökonomie? Wiesbaden: Springer Verlag, S. 339–370.</w:t>
                  </w:r>
                </w:p>
              </w:sdtContent>
            </w:sdt>
            <w:p w14:paraId="73F25BEB" w14:textId="55B8E52E" w:rsidR="00F14ED6" w:rsidRPr="00F14ED6" w:rsidRDefault="0062482F" w:rsidP="00F14ED6">
              <w:pPr>
                <w:pStyle w:val="CitaviBibliographyEntry"/>
                <w:spacing w:after="0" w:line="240" w:lineRule="auto"/>
                <w:rPr>
                  <w:rFonts w:asciiTheme="majorHAnsi" w:hAnsiTheme="majorHAnsi" w:cstheme="majorHAnsi"/>
                  <w:sz w:val="18"/>
                  <w:szCs w:val="18"/>
                </w:rPr>
              </w:pPr>
              <w:r w:rsidRPr="00F14ED6">
                <w:rPr>
                  <w:rFonts w:asciiTheme="majorHAnsi" w:hAnsiTheme="majorHAnsi" w:cstheme="majorHAnsi"/>
                  <w:sz w:val="18"/>
                  <w:szCs w:val="18"/>
                </w:rPr>
                <w:t>Richter, Robert (2021): Mirkoökonomik. Schnell erfasst. Schmalkalden: Springer Gabler.</w:t>
              </w:r>
              <w:r w:rsidRPr="00F14ED6">
                <w:rPr>
                  <w:rFonts w:asciiTheme="majorHAnsi" w:hAnsiTheme="majorHAnsi" w:cstheme="majorHAnsi"/>
                  <w:sz w:val="18"/>
                  <w:szCs w:val="18"/>
                </w:rPr>
                <w:fldChar w:fldCharType="end"/>
              </w:r>
              <w:sdt>
                <w:sdtPr>
                  <w:rPr>
                    <w:rFonts w:asciiTheme="majorHAnsi" w:hAnsiTheme="majorHAnsi" w:cstheme="majorHAnsi"/>
                    <w:sz w:val="18"/>
                    <w:szCs w:val="18"/>
                  </w:rPr>
                  <w:alias w:val=""/>
                  <w:tag w:val="CitaviBibliographyEntries"/>
                  <w:id w:val="-251209672"/>
                  <w15:appearance w15:val="hidden"/>
                </w:sdtPr>
                <w:sdtContent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alias w:val=""/>
                      <w:tag w:val="BibliographyEntry4"/>
                      <w:id w:val="-183131810"/>
                      <w:showingPlcHdr/>
                      <w15:appearance w15:val="hidden"/>
                    </w:sdtPr>
                    <w:sdtContent>
                      <w:r w:rsidRPr="00F14ED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    </w:t>
                      </w:r>
                    </w:sdtContent>
                  </w:sdt>
                </w:sdtContent>
              </w:sdt>
            </w:p>
          </w:sdtContent>
        </w:sdt>
      </w:sdtContent>
    </w:sdt>
    <w:sdt>
      <w:sdtPr>
        <w:rPr>
          <w:rFonts w:ascii="Calibri" w:hAnsi="Calibri" w:cs="Calibri"/>
          <w:color w:val="000000"/>
        </w:rPr>
        <w:alias w:val="To edit, see citavi.com/edit"/>
        <w:tag w:val="CitaviPlaceholder#f9d79288-c763-d705-71e1-2f4edfc24305"/>
        <w:id w:val="1751320151"/>
      </w:sdtPr>
      <w:sdtContent>
        <w:p w14:paraId="1B5C5765" w14:textId="083853C5" w:rsidR="00FC3762" w:rsidRPr="0062482F" w:rsidRDefault="00F14ED6" w:rsidP="00AB7B13">
          <w:pPr>
            <w:rPr>
              <w:sz w:val="18"/>
              <w:szCs w:val="18"/>
              <w:lang w:val="de-DE"/>
            </w:rPr>
          </w:pPr>
          <w:r w:rsidRPr="00F14ED6">
            <w:rPr>
              <w:rFonts w:ascii="Calibri" w:hAnsi="Calibri" w:cs="Calibri"/>
              <w:color w:val="000000"/>
            </w:rPr>
            <w:fldChar w:fldCharType="begin"/>
          </w:r>
          <w:r w:rsidRPr="00F14ED6">
            <w:rPr>
              <w:rFonts w:ascii="Calibri" w:hAnsi="Calibri" w:cs="Calibri"/>
              <w:color w:val="000000"/>
            </w:rPr>
            <w:instrText>ADDIN CitaviPlaceholder{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}</w:instrText>
          </w:r>
          <w:r w:rsidR="00000000">
            <w:rPr>
              <w:rFonts w:ascii="Calibri" w:hAnsi="Calibri" w:cs="Calibri"/>
              <w:color w:val="000000"/>
            </w:rPr>
            <w:fldChar w:fldCharType="separate"/>
          </w:r>
          <w:r w:rsidRPr="00F14ED6">
            <w:rPr>
              <w:rFonts w:ascii="Calibri" w:hAnsi="Calibri" w:cs="Calibri"/>
              <w:color w:val="000000"/>
            </w:rPr>
            <w:fldChar w:fldCharType="end"/>
          </w:r>
        </w:p>
      </w:sdtContent>
    </w:sdt>
    <w:sectPr w:rsidR="00FC3762" w:rsidRPr="0062482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7ACBE" w14:textId="77777777" w:rsidR="0014783B" w:rsidRDefault="0014783B" w:rsidP="00C6122B">
      <w:pPr>
        <w:spacing w:after="0" w:line="240" w:lineRule="auto"/>
      </w:pPr>
      <w:r>
        <w:separator/>
      </w:r>
    </w:p>
  </w:endnote>
  <w:endnote w:type="continuationSeparator" w:id="0">
    <w:p w14:paraId="762EE710" w14:textId="77777777" w:rsidR="0014783B" w:rsidRDefault="0014783B" w:rsidP="00C6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D49B" w14:textId="2ECB6E24" w:rsidR="00C6122B" w:rsidRPr="00C6122B" w:rsidRDefault="00C6122B">
    <w:pPr>
      <w:pStyle w:val="Fuzeile"/>
      <w:rPr>
        <w:sz w:val="18"/>
        <w:szCs w:val="18"/>
      </w:rPr>
    </w:pPr>
    <w:r w:rsidRPr="00C6122B">
      <w:rPr>
        <w:sz w:val="18"/>
        <w:szCs w:val="18"/>
      </w:rPr>
      <w:t>Theresa Matzinger</w:t>
    </w:r>
    <w:r w:rsidRPr="00C6122B">
      <w:rPr>
        <w:sz w:val="18"/>
        <w:szCs w:val="18"/>
      </w:rPr>
      <w:tab/>
    </w:r>
    <w:r w:rsidR="009D06D5">
      <w:rPr>
        <w:sz w:val="18"/>
        <w:szCs w:val="18"/>
      </w:rPr>
      <w:tab/>
    </w:r>
    <w:r w:rsidR="00E67CE1">
      <w:rPr>
        <w:sz w:val="18"/>
        <w:szCs w:val="18"/>
      </w:rPr>
      <w:t>FD</w:t>
    </w:r>
    <w:r w:rsidR="0080703B">
      <w:rPr>
        <w:sz w:val="18"/>
        <w:szCs w:val="18"/>
      </w:rPr>
      <w:t xml:space="preserve"> der sozioökonomischen Bildung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8559" w14:textId="77777777" w:rsidR="0014783B" w:rsidRDefault="0014783B" w:rsidP="00C6122B">
      <w:pPr>
        <w:spacing w:after="0" w:line="240" w:lineRule="auto"/>
      </w:pPr>
      <w:r>
        <w:separator/>
      </w:r>
    </w:p>
  </w:footnote>
  <w:footnote w:type="continuationSeparator" w:id="0">
    <w:p w14:paraId="1D7FE849" w14:textId="77777777" w:rsidR="0014783B" w:rsidRDefault="0014783B" w:rsidP="00C6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568E9"/>
    <w:multiLevelType w:val="hybridMultilevel"/>
    <w:tmpl w:val="E58264CC"/>
    <w:lvl w:ilvl="0" w:tplc="7ED0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E2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0C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46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0B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8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00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29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05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D91AC1"/>
    <w:multiLevelType w:val="hybridMultilevel"/>
    <w:tmpl w:val="25C2DEA2"/>
    <w:lvl w:ilvl="0" w:tplc="9A04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8A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86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AA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6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8A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60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0F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7A27A0"/>
    <w:multiLevelType w:val="hybridMultilevel"/>
    <w:tmpl w:val="4CF4C3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1264">
    <w:abstractNumId w:val="2"/>
  </w:num>
  <w:num w:numId="2" w16cid:durableId="51001432">
    <w:abstractNumId w:val="0"/>
  </w:num>
  <w:num w:numId="3" w16cid:durableId="29579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2B"/>
    <w:rsid w:val="00087305"/>
    <w:rsid w:val="0008761D"/>
    <w:rsid w:val="000C2D35"/>
    <w:rsid w:val="000D3F3A"/>
    <w:rsid w:val="000D47FF"/>
    <w:rsid w:val="000F0A4B"/>
    <w:rsid w:val="0014783B"/>
    <w:rsid w:val="0015363B"/>
    <w:rsid w:val="001751D6"/>
    <w:rsid w:val="00177999"/>
    <w:rsid w:val="001C5BB8"/>
    <w:rsid w:val="00214AA6"/>
    <w:rsid w:val="002D79B0"/>
    <w:rsid w:val="002F5EE7"/>
    <w:rsid w:val="00325E7A"/>
    <w:rsid w:val="00351CBE"/>
    <w:rsid w:val="003603B1"/>
    <w:rsid w:val="003917B6"/>
    <w:rsid w:val="003C27E3"/>
    <w:rsid w:val="003D17D4"/>
    <w:rsid w:val="004014E6"/>
    <w:rsid w:val="00405E3B"/>
    <w:rsid w:val="00426ADE"/>
    <w:rsid w:val="00446F58"/>
    <w:rsid w:val="00456B46"/>
    <w:rsid w:val="00471523"/>
    <w:rsid w:val="0049062E"/>
    <w:rsid w:val="00496AF2"/>
    <w:rsid w:val="004D567D"/>
    <w:rsid w:val="00502F14"/>
    <w:rsid w:val="005439A7"/>
    <w:rsid w:val="0058308C"/>
    <w:rsid w:val="00605A12"/>
    <w:rsid w:val="00612B4B"/>
    <w:rsid w:val="00621F06"/>
    <w:rsid w:val="00623167"/>
    <w:rsid w:val="0062482F"/>
    <w:rsid w:val="0069575E"/>
    <w:rsid w:val="006B3000"/>
    <w:rsid w:val="006C26CE"/>
    <w:rsid w:val="00702AD1"/>
    <w:rsid w:val="007048A2"/>
    <w:rsid w:val="00730772"/>
    <w:rsid w:val="00744016"/>
    <w:rsid w:val="00744D65"/>
    <w:rsid w:val="00771D16"/>
    <w:rsid w:val="007768EC"/>
    <w:rsid w:val="00780470"/>
    <w:rsid w:val="007A46CA"/>
    <w:rsid w:val="007D1700"/>
    <w:rsid w:val="0080703B"/>
    <w:rsid w:val="008225BC"/>
    <w:rsid w:val="00827D5D"/>
    <w:rsid w:val="00840EB9"/>
    <w:rsid w:val="00843253"/>
    <w:rsid w:val="00863454"/>
    <w:rsid w:val="00873B34"/>
    <w:rsid w:val="008C628E"/>
    <w:rsid w:val="008C62CE"/>
    <w:rsid w:val="008D43F1"/>
    <w:rsid w:val="00924E67"/>
    <w:rsid w:val="00944885"/>
    <w:rsid w:val="009966D3"/>
    <w:rsid w:val="009B61F5"/>
    <w:rsid w:val="009D06D5"/>
    <w:rsid w:val="00A00552"/>
    <w:rsid w:val="00AB7B13"/>
    <w:rsid w:val="00AE4086"/>
    <w:rsid w:val="00B148E1"/>
    <w:rsid w:val="00B71545"/>
    <w:rsid w:val="00BE1FF3"/>
    <w:rsid w:val="00BE5D77"/>
    <w:rsid w:val="00BE6999"/>
    <w:rsid w:val="00C02554"/>
    <w:rsid w:val="00C43C53"/>
    <w:rsid w:val="00C43CFB"/>
    <w:rsid w:val="00C6122B"/>
    <w:rsid w:val="00CA08D9"/>
    <w:rsid w:val="00CE2CDF"/>
    <w:rsid w:val="00D64DA2"/>
    <w:rsid w:val="00DA0F09"/>
    <w:rsid w:val="00DA175D"/>
    <w:rsid w:val="00E26086"/>
    <w:rsid w:val="00E650E9"/>
    <w:rsid w:val="00E67CE1"/>
    <w:rsid w:val="00ED3475"/>
    <w:rsid w:val="00F14ED6"/>
    <w:rsid w:val="00F34C03"/>
    <w:rsid w:val="00F42F1D"/>
    <w:rsid w:val="00F72ED1"/>
    <w:rsid w:val="00F749B3"/>
    <w:rsid w:val="00F76696"/>
    <w:rsid w:val="00F951A9"/>
    <w:rsid w:val="00FB4667"/>
    <w:rsid w:val="00FC3762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74E0"/>
  <w15:chartTrackingRefBased/>
  <w15:docId w15:val="{CF6A8228-A5C6-45FE-A508-E265C552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49B3"/>
    <w:pPr>
      <w:spacing w:after="120" w:line="360" w:lineRule="auto"/>
    </w:pPr>
    <w:rPr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6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122B"/>
    <w:rPr>
      <w:kern w:val="0"/>
      <w:sz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6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122B"/>
    <w:rPr>
      <w:kern w:val="0"/>
      <w:sz w:val="24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D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2D79B0"/>
    <w:pPr>
      <w:ind w:left="720"/>
      <w:contextualSpacing/>
    </w:pPr>
  </w:style>
  <w:style w:type="paragraph" w:customStyle="1" w:styleId="CitaviBibliographyEntry">
    <w:name w:val="Citavi Bibliography Entry"/>
    <w:basedOn w:val="Standard"/>
    <w:next w:val="Standard"/>
    <w:rsid w:val="008C62CE"/>
    <w:pPr>
      <w:spacing w:line="278" w:lineRule="auto"/>
    </w:pPr>
    <w:rPr>
      <w:rFonts w:eastAsiaTheme="minorEastAsia"/>
      <w:kern w:val="2"/>
      <w:szCs w:val="24"/>
      <w:lang w:eastAsia="de-AT"/>
      <w14:ligatures w14:val="standardContextual"/>
    </w:rPr>
  </w:style>
  <w:style w:type="paragraph" w:customStyle="1" w:styleId="CitaviBibliographyHeading">
    <w:name w:val="Citavi Bibliography Heading"/>
    <w:basedOn w:val="berschrift1"/>
    <w:rsid w:val="008C62CE"/>
    <w:pPr>
      <w:spacing w:line="259" w:lineRule="auto"/>
    </w:pPr>
    <w:rPr>
      <w:rFonts w:hAnsiTheme="minorHAnsi"/>
      <w:kern w:val="2"/>
      <w:lang w:eastAsia="de-AT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62C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1524D4-DB13-438D-9BE8-FFE16D9FD77C}">
  <we:reference id="wa200002891" version="2021.3.29.10" store="de-DE" storeType="OMEX"/>
  <we:alternateReferences>
    <we:reference id="wa200002891" version="2021.3.29.10" store="WA200002891" storeType="OMEX"/>
  </we:alternateReferences>
  <we:properties>
    <we:property name="CitaviDocumentProperty_1007" value="&quot;3fed3319-f4fa-81e0-05cb-a99898f7652a&quot;"/>
    <we:property name="CitaviDocumentProperty_1008" value="&quot;references&quot;"/>
    <we:property name="CitaviDocumentProperty_31" value="&quot;zywkxvmy0tz5j72t9h74sve69iicwecownk3r88p2n6c&quot;"/>
    <we:property name="CitaviDocumentProperty_33" value="&quot;{\&quot;CitationSystem\&quot;:1,\&quot;FileName\&quot;:\&quot;CitaviDefaultCitationStyle_de.ccs\&quot;,\&quot;Name\&quot;:\&quot;Citavi Basis-Stil\&quot;,\&quot;Id\&quot;:\&quot;f1ed8f7d-1c65-4f06-ad48-3e96e725bea1\&quot;,\&quot;Version\&quot;:21}&quot;"/>
    <we:property name="CitaviDocumentProperty_34" value="2"/>
    <we:property name="CitaviDocumentProperty_7" value="&quot;GPB_GWB_BiWi&quot;"/>
    <we:property name="CitaviDocumentProperty_8" value="&quot;WestEurope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063B-C7C8-4411-8EE7-EEFA0DE5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Matzinger</dc:creator>
  <cp:keywords/>
  <dc:description/>
  <cp:lastModifiedBy>Theresa Matzinger</cp:lastModifiedBy>
  <cp:revision>70</cp:revision>
  <dcterms:created xsi:type="dcterms:W3CDTF">2024-04-05T08:08:00Z</dcterms:created>
  <dcterms:modified xsi:type="dcterms:W3CDTF">2024-04-11T09:08:00Z</dcterms:modified>
</cp:coreProperties>
</file>