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0BCE1" w14:textId="77777777" w:rsidR="00DA6DF5" w:rsidRPr="00DF03C8" w:rsidRDefault="00DA6DF5" w:rsidP="00DA6DF5">
      <w:pPr>
        <w:rPr>
          <w:rFonts w:ascii="Calibri" w:hAnsi="Calibri" w:cs="Calibri"/>
          <w:b/>
          <w:bCs/>
          <w:sz w:val="24"/>
          <w:szCs w:val="24"/>
        </w:rPr>
      </w:pPr>
      <w:r w:rsidRPr="00DF03C8">
        <w:rPr>
          <w:rFonts w:ascii="Calibri" w:hAnsi="Calibri" w:cs="Calibri"/>
          <w:b/>
          <w:bCs/>
          <w:sz w:val="24"/>
          <w:szCs w:val="24"/>
        </w:rPr>
        <w:t>Informationsblatt</w:t>
      </w:r>
      <w:r w:rsidRPr="00DF03C8">
        <w:rPr>
          <w:rFonts w:ascii="Calibri" w:hAnsi="Calibri" w:cs="Calibri"/>
          <w:b/>
          <w:bCs/>
          <w:sz w:val="24"/>
          <w:szCs w:val="24"/>
        </w:rPr>
        <w:t xml:space="preserve">: </w:t>
      </w:r>
    </w:p>
    <w:p w14:paraId="1DBFD898" w14:textId="49F00B20" w:rsidR="00DA6DF5" w:rsidRPr="00DF03C8" w:rsidRDefault="00DA6DF5" w:rsidP="00DA6DF5">
      <w:pPr>
        <w:rPr>
          <w:rFonts w:ascii="Calibri" w:hAnsi="Calibri" w:cs="Calibri"/>
          <w:b/>
          <w:bCs/>
          <w:sz w:val="24"/>
          <w:szCs w:val="24"/>
        </w:rPr>
      </w:pPr>
      <w:r w:rsidRPr="00DF03C8">
        <w:rPr>
          <w:rFonts w:ascii="Calibri" w:hAnsi="Calibri" w:cs="Calibri"/>
          <w:b/>
          <w:bCs/>
          <w:sz w:val="24"/>
          <w:szCs w:val="24"/>
        </w:rPr>
        <w:t>Berechnung</w:t>
      </w:r>
      <w:r w:rsidRPr="00DF03C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F03C8">
        <w:rPr>
          <w:rFonts w:ascii="Calibri" w:hAnsi="Calibri" w:cs="Calibri"/>
          <w:b/>
          <w:bCs/>
          <w:sz w:val="24"/>
          <w:szCs w:val="24"/>
        </w:rPr>
        <w:t>der</w:t>
      </w:r>
      <w:r w:rsidRPr="00DF03C8">
        <w:rPr>
          <w:rFonts w:ascii="Calibri" w:hAnsi="Calibri" w:cs="Calibri"/>
          <w:b/>
          <w:bCs/>
          <w:sz w:val="24"/>
          <w:szCs w:val="24"/>
        </w:rPr>
        <w:t xml:space="preserve"> drei Säulen des österreichischen Pensionssystems</w:t>
      </w:r>
    </w:p>
    <w:p w14:paraId="63E51323" w14:textId="77777777" w:rsidR="00DA6DF5" w:rsidRPr="00DF03C8" w:rsidRDefault="00DA6DF5" w:rsidP="00DA6DF5">
      <w:pPr>
        <w:rPr>
          <w:rFonts w:ascii="Calibri" w:hAnsi="Calibri" w:cs="Calibri"/>
          <w:sz w:val="24"/>
          <w:szCs w:val="24"/>
        </w:rPr>
      </w:pPr>
    </w:p>
    <w:p w14:paraId="661C1056" w14:textId="60D0461F" w:rsidR="00DA6DF5" w:rsidRPr="00DF03C8" w:rsidRDefault="00DA6DF5" w:rsidP="00DA6DF5">
      <w:pPr>
        <w:pStyle w:val="Listenabsatz"/>
        <w:numPr>
          <w:ilvl w:val="0"/>
          <w:numId w:val="3"/>
        </w:numPr>
        <w:rPr>
          <w:rFonts w:ascii="Calibri" w:hAnsi="Calibri" w:cs="Calibri"/>
          <w:b/>
          <w:bCs/>
          <w:sz w:val="24"/>
          <w:szCs w:val="24"/>
        </w:rPr>
      </w:pPr>
      <w:r w:rsidRPr="00DF03C8">
        <w:rPr>
          <w:rFonts w:ascii="Calibri" w:hAnsi="Calibri" w:cs="Calibri"/>
          <w:b/>
          <w:bCs/>
          <w:sz w:val="24"/>
          <w:szCs w:val="24"/>
        </w:rPr>
        <w:t>Erste Säule: Gesetzliche Pensionsversicherung</w:t>
      </w:r>
    </w:p>
    <w:p w14:paraId="5DAB9F4A" w14:textId="77777777" w:rsidR="00DA6DF5" w:rsidRPr="00DF03C8" w:rsidRDefault="00DA6DF5" w:rsidP="00DA6DF5">
      <w:pPr>
        <w:rPr>
          <w:rFonts w:ascii="Calibri" w:hAnsi="Calibri" w:cs="Calibri"/>
          <w:sz w:val="24"/>
          <w:szCs w:val="24"/>
        </w:rPr>
      </w:pPr>
    </w:p>
    <w:p w14:paraId="613056CB" w14:textId="0F786D33" w:rsidR="00DA6DF5" w:rsidRPr="00DF03C8" w:rsidRDefault="00DA6DF5" w:rsidP="00DA6DF5">
      <w:pPr>
        <w:rPr>
          <w:rFonts w:ascii="Calibri" w:hAnsi="Calibri" w:cs="Calibri"/>
          <w:sz w:val="24"/>
          <w:szCs w:val="24"/>
        </w:rPr>
      </w:pPr>
      <w:r w:rsidRPr="00DF03C8">
        <w:rPr>
          <w:rFonts w:ascii="Calibri" w:hAnsi="Calibri" w:cs="Calibri"/>
          <w:sz w:val="24"/>
          <w:szCs w:val="24"/>
        </w:rPr>
        <w:t>Die erste Säule basiert auf einer Umlagefinanzierung und ist die grundlegende staatliche Altersvorsorge.</w:t>
      </w:r>
    </w:p>
    <w:p w14:paraId="0EF25E83" w14:textId="1051BEF0" w:rsidR="00DA6DF5" w:rsidRPr="00DF03C8" w:rsidRDefault="00DA6DF5" w:rsidP="00DA6DF5">
      <w:pPr>
        <w:rPr>
          <w:rFonts w:ascii="Calibri" w:hAnsi="Calibri" w:cs="Calibri"/>
          <w:sz w:val="24"/>
          <w:szCs w:val="24"/>
        </w:rPr>
      </w:pPr>
      <w:r w:rsidRPr="00DF03C8">
        <w:rPr>
          <w:rFonts w:ascii="Calibri" w:hAnsi="Calibri" w:cs="Calibri"/>
          <w:sz w:val="24"/>
          <w:szCs w:val="24"/>
        </w:rPr>
        <w:t>-Beitragszahlung: Arbeitnehmerinnen und Arbeitnehmer sowie Selbständige zahlen Beiträge basierend auf ihrem Einkommen.</w:t>
      </w:r>
    </w:p>
    <w:p w14:paraId="10D044D5" w14:textId="2B16C199" w:rsidR="00DA6DF5" w:rsidRPr="00DF03C8" w:rsidRDefault="00DA6DF5" w:rsidP="00DA6DF5">
      <w:pPr>
        <w:rPr>
          <w:rFonts w:ascii="Calibri" w:hAnsi="Calibri" w:cs="Calibri"/>
          <w:sz w:val="24"/>
          <w:szCs w:val="24"/>
        </w:rPr>
      </w:pPr>
      <w:r w:rsidRPr="00DF03C8">
        <w:rPr>
          <w:rFonts w:ascii="Calibri" w:hAnsi="Calibri" w:cs="Calibri"/>
          <w:sz w:val="24"/>
          <w:szCs w:val="24"/>
        </w:rPr>
        <w:t>- Pensionskonto: Jeder hat ein individuelles Pensionskonto, auf dem Beitragszeiten und Beiträge verbucht werden.</w:t>
      </w:r>
    </w:p>
    <w:p w14:paraId="64460232" w14:textId="18E7B1F4" w:rsidR="00DA6DF5" w:rsidRPr="00DF03C8" w:rsidRDefault="00DA6DF5" w:rsidP="00DA6DF5">
      <w:pPr>
        <w:rPr>
          <w:rFonts w:ascii="Calibri" w:hAnsi="Calibri" w:cs="Calibri"/>
          <w:sz w:val="24"/>
          <w:szCs w:val="24"/>
        </w:rPr>
      </w:pPr>
      <w:r w:rsidRPr="00DF03C8">
        <w:rPr>
          <w:rFonts w:ascii="Calibri" w:hAnsi="Calibri" w:cs="Calibri"/>
          <w:sz w:val="24"/>
          <w:szCs w:val="24"/>
        </w:rPr>
        <w:t>- Berechnung der Pension: Die Höhe der staatlichen Pension wird durch die Summe der Beitragszeiten und den Pensionsfaktor bestimmt.</w:t>
      </w:r>
    </w:p>
    <w:p w14:paraId="796BFDA0" w14:textId="77777777" w:rsidR="00DA6DF5" w:rsidRPr="00DF03C8" w:rsidRDefault="00DA6DF5" w:rsidP="00DA6DF5">
      <w:pPr>
        <w:rPr>
          <w:rFonts w:ascii="Calibri" w:hAnsi="Calibri" w:cs="Calibri"/>
          <w:sz w:val="24"/>
          <w:szCs w:val="24"/>
        </w:rPr>
      </w:pPr>
    </w:p>
    <w:p w14:paraId="60633FC0" w14:textId="5F09A128" w:rsidR="00DA6DF5" w:rsidRPr="00DF03C8" w:rsidRDefault="00DA6DF5" w:rsidP="00DA6DF5">
      <w:pPr>
        <w:rPr>
          <w:rFonts w:ascii="Calibri" w:hAnsi="Calibri" w:cs="Calibri"/>
          <w:b/>
          <w:bCs/>
          <w:sz w:val="24"/>
          <w:szCs w:val="24"/>
        </w:rPr>
      </w:pPr>
      <w:r w:rsidRPr="00DF03C8">
        <w:rPr>
          <w:rFonts w:ascii="Calibri" w:hAnsi="Calibri" w:cs="Calibri"/>
          <w:b/>
          <w:bCs/>
          <w:sz w:val="24"/>
          <w:szCs w:val="24"/>
        </w:rPr>
        <w:t>Formel zur Berechnung der staatlichen Pension:</w:t>
      </w:r>
    </w:p>
    <w:p w14:paraId="4509E5D9" w14:textId="77777777" w:rsidR="00DA6DF5" w:rsidRPr="00DF03C8" w:rsidRDefault="00DA6DF5" w:rsidP="00DA6DF5">
      <w:pPr>
        <w:rPr>
          <w:rFonts w:ascii="Calibri" w:hAnsi="Calibri" w:cs="Calibri"/>
          <w:sz w:val="24"/>
          <w:szCs w:val="24"/>
        </w:rPr>
      </w:pPr>
      <w:r w:rsidRPr="00DF03C8">
        <w:rPr>
          <w:rFonts w:ascii="Calibri" w:hAnsi="Calibri" w:cs="Calibri"/>
          <w:sz w:val="24"/>
          <w:szCs w:val="24"/>
        </w:rPr>
        <w:t>Jährliche staatliche Pensio</w:t>
      </w:r>
      <w:r w:rsidRPr="00DF03C8">
        <w:rPr>
          <w:rFonts w:ascii="Calibri" w:hAnsi="Calibri" w:cs="Calibri"/>
          <w:sz w:val="24"/>
          <w:szCs w:val="24"/>
        </w:rPr>
        <w:t>n</w:t>
      </w:r>
      <w:r w:rsidRPr="00DF03C8">
        <w:rPr>
          <w:rFonts w:ascii="Calibri" w:hAnsi="Calibri" w:cs="Calibri"/>
          <w:sz w:val="24"/>
          <w:szCs w:val="24"/>
        </w:rPr>
        <w:t xml:space="preserve"> = </w:t>
      </w:r>
    </w:p>
    <w:p w14:paraId="5A919060" w14:textId="600F4654" w:rsidR="00DA6DF5" w:rsidRPr="00DF03C8" w:rsidRDefault="00DA6DF5" w:rsidP="00DA6DF5">
      <w:pPr>
        <w:rPr>
          <w:rFonts w:ascii="Calibri" w:hAnsi="Calibri" w:cs="Calibri"/>
          <w:sz w:val="24"/>
          <w:szCs w:val="24"/>
        </w:rPr>
      </w:pPr>
      <w:r w:rsidRPr="00DF03C8">
        <w:rPr>
          <w:rFonts w:ascii="Calibri" w:hAnsi="Calibri" w:cs="Calibri"/>
          <w:sz w:val="24"/>
          <w:szCs w:val="24"/>
        </w:rPr>
        <w:t>Beitragsjahre</w:t>
      </w:r>
      <w:r w:rsidRPr="00DF03C8">
        <w:rPr>
          <w:rFonts w:ascii="Calibri" w:hAnsi="Calibri" w:cs="Calibri"/>
          <w:sz w:val="24"/>
          <w:szCs w:val="24"/>
        </w:rPr>
        <w:t xml:space="preserve"> * </w:t>
      </w:r>
      <w:r w:rsidRPr="00DF03C8">
        <w:rPr>
          <w:rFonts w:ascii="Calibri" w:hAnsi="Calibri" w:cs="Calibri"/>
          <w:sz w:val="24"/>
          <w:szCs w:val="24"/>
        </w:rPr>
        <w:t>Durchschnittliches Jahreseinkommen</w:t>
      </w:r>
      <w:r w:rsidRPr="00DF03C8">
        <w:rPr>
          <w:rFonts w:ascii="Calibri" w:hAnsi="Calibri" w:cs="Calibri"/>
          <w:sz w:val="24"/>
          <w:szCs w:val="24"/>
        </w:rPr>
        <w:t xml:space="preserve"> \ 1,78%</w:t>
      </w:r>
    </w:p>
    <w:p w14:paraId="26A578DF" w14:textId="0D8D94E5" w:rsidR="00DA6DF5" w:rsidRPr="00DF03C8" w:rsidRDefault="00DA6DF5" w:rsidP="00DA6DF5">
      <w:pPr>
        <w:rPr>
          <w:rFonts w:ascii="Calibri" w:hAnsi="Calibri" w:cs="Calibri"/>
          <w:sz w:val="24"/>
          <w:szCs w:val="24"/>
        </w:rPr>
      </w:pPr>
    </w:p>
    <w:p w14:paraId="0BD5BE95" w14:textId="6CA3864B" w:rsidR="00DA6DF5" w:rsidRPr="00DF03C8" w:rsidRDefault="00DA6DF5" w:rsidP="00DA6DF5">
      <w:pPr>
        <w:rPr>
          <w:rFonts w:ascii="Calibri" w:hAnsi="Calibri" w:cs="Calibri"/>
          <w:sz w:val="24"/>
          <w:szCs w:val="24"/>
        </w:rPr>
      </w:pPr>
      <w:r w:rsidRPr="00DF03C8">
        <w:rPr>
          <w:rFonts w:ascii="Calibri" w:hAnsi="Calibri" w:cs="Calibri"/>
          <w:sz w:val="24"/>
          <w:szCs w:val="24"/>
        </w:rPr>
        <w:t xml:space="preserve">Das Pensionswert von 1,78 Prozent pro Jahr der Beitragsgrundlage in Österreich zeigt an, wie viel Prozent vom durchschnittlichen Einkommen eines Arbeitnehmers für die Berechnung seiner späteren </w:t>
      </w:r>
      <w:r w:rsidRPr="00DF03C8">
        <w:rPr>
          <w:rFonts w:ascii="Calibri" w:hAnsi="Calibri" w:cs="Calibri"/>
          <w:sz w:val="24"/>
          <w:szCs w:val="24"/>
        </w:rPr>
        <w:t xml:space="preserve">Pension </w:t>
      </w:r>
      <w:r w:rsidRPr="00DF03C8">
        <w:rPr>
          <w:rFonts w:ascii="Calibri" w:hAnsi="Calibri" w:cs="Calibri"/>
          <w:sz w:val="24"/>
          <w:szCs w:val="24"/>
        </w:rPr>
        <w:t>verwendet wird.</w:t>
      </w:r>
    </w:p>
    <w:p w14:paraId="351AD595" w14:textId="77777777" w:rsidR="00DA6DF5" w:rsidRPr="00DF03C8" w:rsidRDefault="00DA6DF5" w:rsidP="00DA6DF5">
      <w:pPr>
        <w:rPr>
          <w:rFonts w:ascii="Calibri" w:hAnsi="Calibri" w:cs="Calibri"/>
          <w:sz w:val="24"/>
          <w:szCs w:val="24"/>
        </w:rPr>
      </w:pPr>
    </w:p>
    <w:p w14:paraId="61809569" w14:textId="706C9E3D" w:rsidR="00DA6DF5" w:rsidRPr="00DF03C8" w:rsidRDefault="00DA6DF5" w:rsidP="00DA6DF5">
      <w:pPr>
        <w:pStyle w:val="Listenabsatz"/>
        <w:numPr>
          <w:ilvl w:val="0"/>
          <w:numId w:val="3"/>
        </w:numPr>
        <w:rPr>
          <w:rFonts w:ascii="Calibri" w:hAnsi="Calibri" w:cs="Calibri"/>
          <w:b/>
          <w:bCs/>
          <w:sz w:val="24"/>
          <w:szCs w:val="24"/>
        </w:rPr>
      </w:pPr>
      <w:r w:rsidRPr="00DF03C8">
        <w:rPr>
          <w:rFonts w:ascii="Calibri" w:hAnsi="Calibri" w:cs="Calibri"/>
          <w:b/>
          <w:bCs/>
          <w:sz w:val="24"/>
          <w:szCs w:val="24"/>
        </w:rPr>
        <w:t>Zweite Säule: Betriebliche und staatlich geförderte Zusatzpensionen</w:t>
      </w:r>
    </w:p>
    <w:p w14:paraId="1CF0C6A5" w14:textId="77777777" w:rsidR="00DA6DF5" w:rsidRPr="00DF03C8" w:rsidRDefault="00DA6DF5" w:rsidP="00DA6DF5">
      <w:pPr>
        <w:rPr>
          <w:rFonts w:ascii="Calibri" w:hAnsi="Calibri" w:cs="Calibri"/>
          <w:sz w:val="24"/>
          <w:szCs w:val="24"/>
        </w:rPr>
      </w:pPr>
    </w:p>
    <w:p w14:paraId="5C017830" w14:textId="49CDD46B" w:rsidR="00DA6DF5" w:rsidRPr="00DF03C8" w:rsidRDefault="00DA6DF5" w:rsidP="00DA6DF5">
      <w:pPr>
        <w:rPr>
          <w:rFonts w:ascii="Calibri" w:hAnsi="Calibri" w:cs="Calibri"/>
          <w:sz w:val="24"/>
          <w:szCs w:val="24"/>
        </w:rPr>
      </w:pPr>
      <w:r w:rsidRPr="00DF03C8">
        <w:rPr>
          <w:rFonts w:ascii="Calibri" w:hAnsi="Calibri" w:cs="Calibri"/>
          <w:sz w:val="24"/>
          <w:szCs w:val="24"/>
        </w:rPr>
        <w:t xml:space="preserve">Diese Säule umfasst </w:t>
      </w:r>
      <w:r w:rsidRPr="00DF03C8">
        <w:rPr>
          <w:rFonts w:ascii="Calibri" w:hAnsi="Calibri" w:cs="Calibri"/>
          <w:sz w:val="24"/>
          <w:szCs w:val="24"/>
        </w:rPr>
        <w:t xml:space="preserve">die </w:t>
      </w:r>
      <w:r w:rsidRPr="00DF03C8">
        <w:rPr>
          <w:rFonts w:ascii="Calibri" w:hAnsi="Calibri" w:cs="Calibri"/>
          <w:sz w:val="24"/>
          <w:szCs w:val="24"/>
        </w:rPr>
        <w:t>betriebliche Altersvorsorge</w:t>
      </w:r>
      <w:r w:rsidRPr="00DF03C8">
        <w:rPr>
          <w:rFonts w:ascii="Calibri" w:hAnsi="Calibri" w:cs="Calibri"/>
          <w:sz w:val="24"/>
          <w:szCs w:val="24"/>
        </w:rPr>
        <w:t>.</w:t>
      </w:r>
      <w:r w:rsidRPr="00DF03C8">
        <w:rPr>
          <w:rFonts w:ascii="Calibri" w:hAnsi="Calibri" w:cs="Calibri"/>
          <w:sz w:val="24"/>
          <w:szCs w:val="24"/>
        </w:rPr>
        <w:t xml:space="preserve"> </w:t>
      </w:r>
    </w:p>
    <w:p w14:paraId="3F6CB7E2" w14:textId="77777777" w:rsidR="00DA6DF5" w:rsidRPr="00DF03C8" w:rsidRDefault="00DA6DF5" w:rsidP="00DA6DF5">
      <w:pPr>
        <w:rPr>
          <w:rFonts w:ascii="Calibri" w:hAnsi="Calibri" w:cs="Calibri"/>
          <w:sz w:val="24"/>
          <w:szCs w:val="24"/>
        </w:rPr>
      </w:pPr>
    </w:p>
    <w:p w14:paraId="48D728E6" w14:textId="54CE732A" w:rsidR="00DA6DF5" w:rsidRPr="00DF03C8" w:rsidRDefault="00DA6DF5" w:rsidP="00DA6DF5">
      <w:pPr>
        <w:rPr>
          <w:rFonts w:ascii="Calibri" w:hAnsi="Calibri" w:cs="Calibri"/>
          <w:sz w:val="24"/>
          <w:szCs w:val="24"/>
        </w:rPr>
      </w:pPr>
      <w:r w:rsidRPr="00DF03C8">
        <w:rPr>
          <w:rFonts w:ascii="Calibri" w:hAnsi="Calibri" w:cs="Calibri"/>
          <w:sz w:val="24"/>
          <w:szCs w:val="24"/>
        </w:rPr>
        <w:t>- Betriebliche Altersvorsorge: Arbeitgeber und Arbeitnehmer zahlen Beiträge in betriebliche Pensionskassen.</w:t>
      </w:r>
    </w:p>
    <w:p w14:paraId="5956E1B6" w14:textId="77777777" w:rsidR="00DA6DF5" w:rsidRPr="00DF03C8" w:rsidRDefault="00DA6DF5" w:rsidP="00DA6DF5">
      <w:pPr>
        <w:rPr>
          <w:rFonts w:ascii="Calibri" w:hAnsi="Calibri" w:cs="Calibri"/>
          <w:sz w:val="24"/>
          <w:szCs w:val="24"/>
        </w:rPr>
      </w:pPr>
    </w:p>
    <w:p w14:paraId="655B0BBF" w14:textId="151CFB67" w:rsidR="00DA6DF5" w:rsidRPr="00DF03C8" w:rsidRDefault="00DA6DF5" w:rsidP="00DA6DF5">
      <w:pPr>
        <w:rPr>
          <w:rFonts w:ascii="Calibri" w:hAnsi="Calibri" w:cs="Calibri"/>
          <w:b/>
          <w:bCs/>
          <w:sz w:val="24"/>
          <w:szCs w:val="24"/>
        </w:rPr>
      </w:pPr>
      <w:r w:rsidRPr="00DF03C8">
        <w:rPr>
          <w:rFonts w:ascii="Calibri" w:hAnsi="Calibri" w:cs="Calibri"/>
          <w:b/>
          <w:bCs/>
          <w:sz w:val="24"/>
          <w:szCs w:val="24"/>
        </w:rPr>
        <w:t>Formel zur Berechnung der betrieblichen Altersvorsorge:</w:t>
      </w:r>
    </w:p>
    <w:p w14:paraId="70DE8723" w14:textId="52816F17" w:rsidR="00DA6DF5" w:rsidRPr="00DF03C8" w:rsidRDefault="00DA6DF5" w:rsidP="00DA6DF5">
      <w:pPr>
        <w:rPr>
          <w:rFonts w:ascii="Calibri" w:hAnsi="Calibri" w:cs="Calibri"/>
          <w:sz w:val="24"/>
          <w:szCs w:val="24"/>
        </w:rPr>
      </w:pPr>
      <w:r w:rsidRPr="00DF03C8">
        <w:rPr>
          <w:rFonts w:ascii="Calibri" w:hAnsi="Calibri" w:cs="Calibri"/>
          <w:sz w:val="24"/>
          <w:szCs w:val="24"/>
        </w:rPr>
        <w:t>Jährliche Einzahlung= Jahresgehal</w:t>
      </w:r>
      <w:r w:rsidRPr="00DF03C8">
        <w:rPr>
          <w:rFonts w:ascii="Calibri" w:hAnsi="Calibri" w:cs="Calibri"/>
          <w:sz w:val="24"/>
          <w:szCs w:val="24"/>
        </w:rPr>
        <w:t>t</w:t>
      </w:r>
      <w:r w:rsidRPr="00DF03C8">
        <w:rPr>
          <w:rFonts w:ascii="Calibri" w:hAnsi="Calibri" w:cs="Calibri"/>
          <w:sz w:val="24"/>
          <w:szCs w:val="24"/>
        </w:rPr>
        <w:t xml:space="preserve"> </w:t>
      </w:r>
      <w:r w:rsidRPr="00DF03C8">
        <w:rPr>
          <w:rFonts w:ascii="Calibri" w:hAnsi="Calibri" w:cs="Calibri"/>
          <w:sz w:val="24"/>
          <w:szCs w:val="24"/>
        </w:rPr>
        <w:t xml:space="preserve">* </w:t>
      </w:r>
      <w:r w:rsidRPr="00DF03C8">
        <w:rPr>
          <w:rFonts w:ascii="Calibri" w:hAnsi="Calibri" w:cs="Calibri"/>
          <w:sz w:val="24"/>
          <w:szCs w:val="24"/>
        </w:rPr>
        <w:t>Prozentsatz der Einzahlung</w:t>
      </w:r>
    </w:p>
    <w:p w14:paraId="23F32C79" w14:textId="77777777" w:rsidR="00DA6DF5" w:rsidRPr="00DF03C8" w:rsidRDefault="00DA6DF5" w:rsidP="00DA6DF5">
      <w:pPr>
        <w:rPr>
          <w:rFonts w:ascii="Calibri" w:hAnsi="Calibri" w:cs="Calibri"/>
          <w:sz w:val="24"/>
          <w:szCs w:val="24"/>
        </w:rPr>
      </w:pPr>
    </w:p>
    <w:p w14:paraId="58C3F948" w14:textId="302C5A80" w:rsidR="00DA6DF5" w:rsidRPr="00DF03C8" w:rsidRDefault="00DA6DF5" w:rsidP="00DA6DF5">
      <w:pPr>
        <w:pStyle w:val="Listenabsatz"/>
        <w:numPr>
          <w:ilvl w:val="0"/>
          <w:numId w:val="3"/>
        </w:numPr>
        <w:rPr>
          <w:rFonts w:ascii="Calibri" w:hAnsi="Calibri" w:cs="Calibri"/>
          <w:b/>
          <w:bCs/>
          <w:sz w:val="24"/>
          <w:szCs w:val="24"/>
        </w:rPr>
      </w:pPr>
      <w:r w:rsidRPr="00DF03C8">
        <w:rPr>
          <w:rFonts w:ascii="Calibri" w:hAnsi="Calibri" w:cs="Calibri"/>
          <w:b/>
          <w:bCs/>
          <w:sz w:val="24"/>
          <w:szCs w:val="24"/>
        </w:rPr>
        <w:lastRenderedPageBreak/>
        <w:t>Dritte Säule: Private Vorsorge</w:t>
      </w:r>
    </w:p>
    <w:p w14:paraId="713F34F1" w14:textId="77777777" w:rsidR="00DA6DF5" w:rsidRPr="00DF03C8" w:rsidRDefault="00DA6DF5" w:rsidP="00DA6DF5">
      <w:pPr>
        <w:rPr>
          <w:rFonts w:ascii="Calibri" w:hAnsi="Calibri" w:cs="Calibri"/>
          <w:sz w:val="24"/>
          <w:szCs w:val="24"/>
        </w:rPr>
      </w:pPr>
    </w:p>
    <w:p w14:paraId="20DEF012" w14:textId="77777777" w:rsidR="00DA6DF5" w:rsidRPr="00DF03C8" w:rsidRDefault="00DA6DF5" w:rsidP="00DA6DF5">
      <w:pPr>
        <w:rPr>
          <w:rFonts w:ascii="Calibri" w:hAnsi="Calibri" w:cs="Calibri"/>
          <w:sz w:val="24"/>
          <w:szCs w:val="24"/>
        </w:rPr>
      </w:pPr>
      <w:r w:rsidRPr="00DF03C8">
        <w:rPr>
          <w:rFonts w:ascii="Calibri" w:hAnsi="Calibri" w:cs="Calibri"/>
          <w:sz w:val="24"/>
          <w:szCs w:val="24"/>
        </w:rPr>
        <w:t>Individuelle private Vorsorge wie private Pensionsversicherungen und Sparpläne.</w:t>
      </w:r>
    </w:p>
    <w:p w14:paraId="23ACB962" w14:textId="77777777" w:rsidR="00DA6DF5" w:rsidRPr="00DF03C8" w:rsidRDefault="00DA6DF5" w:rsidP="00DA6DF5">
      <w:pPr>
        <w:rPr>
          <w:rFonts w:ascii="Calibri" w:hAnsi="Calibri" w:cs="Calibri"/>
          <w:sz w:val="24"/>
          <w:szCs w:val="24"/>
        </w:rPr>
      </w:pPr>
    </w:p>
    <w:p w14:paraId="3450AC16" w14:textId="3EAF0E50" w:rsidR="00DA6DF5" w:rsidRPr="00DF03C8" w:rsidRDefault="00DA6DF5" w:rsidP="00DA6DF5">
      <w:pPr>
        <w:rPr>
          <w:rFonts w:ascii="Calibri" w:hAnsi="Calibri" w:cs="Calibri"/>
          <w:b/>
          <w:bCs/>
          <w:sz w:val="24"/>
          <w:szCs w:val="24"/>
        </w:rPr>
      </w:pPr>
      <w:r w:rsidRPr="00DF03C8">
        <w:rPr>
          <w:rFonts w:ascii="Calibri" w:hAnsi="Calibri" w:cs="Calibri"/>
          <w:b/>
          <w:bCs/>
          <w:sz w:val="24"/>
          <w:szCs w:val="24"/>
        </w:rPr>
        <w:t>Formel zur Berechnung der privaten Vorsorge:</w:t>
      </w:r>
    </w:p>
    <w:p w14:paraId="15E68669" w14:textId="11C7007D" w:rsidR="00DA6DF5" w:rsidRPr="00DF03C8" w:rsidRDefault="00DA6DF5" w:rsidP="00DA6DF5">
      <w:pPr>
        <w:rPr>
          <w:rFonts w:ascii="Calibri" w:hAnsi="Calibri" w:cs="Calibri"/>
          <w:sz w:val="24"/>
          <w:szCs w:val="24"/>
        </w:rPr>
      </w:pPr>
      <w:r w:rsidRPr="00DF03C8">
        <w:rPr>
          <w:rFonts w:ascii="Calibri" w:hAnsi="Calibri" w:cs="Calibri"/>
          <w:sz w:val="24"/>
          <w:szCs w:val="24"/>
        </w:rPr>
        <w:t>Jährliche Einzahlung= Monatliche Einzahlun</w:t>
      </w:r>
      <w:r w:rsidR="00DF03C8" w:rsidRPr="00DF03C8">
        <w:rPr>
          <w:rFonts w:ascii="Calibri" w:hAnsi="Calibri" w:cs="Calibri"/>
          <w:sz w:val="24"/>
          <w:szCs w:val="24"/>
        </w:rPr>
        <w:t>g *</w:t>
      </w:r>
      <w:r w:rsidRPr="00DF03C8">
        <w:rPr>
          <w:rFonts w:ascii="Calibri" w:hAnsi="Calibri" w:cs="Calibri"/>
          <w:sz w:val="24"/>
          <w:szCs w:val="24"/>
        </w:rPr>
        <w:t xml:space="preserve"> 12 </w:t>
      </w:r>
    </w:p>
    <w:p w14:paraId="0BA37A22" w14:textId="2395EA79" w:rsidR="00DA6DF5" w:rsidRPr="00DF03C8" w:rsidRDefault="00DA6DF5" w:rsidP="00DA6DF5">
      <w:pPr>
        <w:rPr>
          <w:rFonts w:ascii="Calibri" w:hAnsi="Calibri" w:cs="Calibri"/>
          <w:sz w:val="24"/>
          <w:szCs w:val="24"/>
        </w:rPr>
      </w:pPr>
    </w:p>
    <w:p w14:paraId="1991228D" w14:textId="77777777" w:rsidR="00DA6DF5" w:rsidRPr="00DF03C8" w:rsidRDefault="00DA6DF5" w:rsidP="00DA6DF5">
      <w:pPr>
        <w:rPr>
          <w:rFonts w:ascii="Calibri" w:hAnsi="Calibri" w:cs="Calibri"/>
          <w:sz w:val="24"/>
          <w:szCs w:val="24"/>
        </w:rPr>
      </w:pPr>
    </w:p>
    <w:p w14:paraId="7223F81D" w14:textId="77777777" w:rsidR="003E57DE" w:rsidRPr="00DF03C8" w:rsidRDefault="003E57DE">
      <w:pPr>
        <w:rPr>
          <w:rFonts w:ascii="Calibri" w:hAnsi="Calibri" w:cs="Calibri"/>
        </w:rPr>
      </w:pPr>
    </w:p>
    <w:sectPr w:rsidR="003E57DE" w:rsidRPr="00DF03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433EA"/>
    <w:multiLevelType w:val="hybridMultilevel"/>
    <w:tmpl w:val="B65200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34248"/>
    <w:multiLevelType w:val="hybridMultilevel"/>
    <w:tmpl w:val="7916A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7221E"/>
    <w:multiLevelType w:val="hybridMultilevel"/>
    <w:tmpl w:val="91328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585885">
    <w:abstractNumId w:val="0"/>
  </w:num>
  <w:num w:numId="2" w16cid:durableId="139612800">
    <w:abstractNumId w:val="2"/>
  </w:num>
  <w:num w:numId="3" w16cid:durableId="1172524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F5"/>
    <w:rsid w:val="002A5F38"/>
    <w:rsid w:val="003E57DE"/>
    <w:rsid w:val="004D6328"/>
    <w:rsid w:val="00DA6DF5"/>
    <w:rsid w:val="00D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AB0B"/>
  <w15:chartTrackingRefBased/>
  <w15:docId w15:val="{C50548F0-BFC2-48B9-9FA2-4CC87B1B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6DF5"/>
  </w:style>
  <w:style w:type="paragraph" w:styleId="berschrift1">
    <w:name w:val="heading 1"/>
    <w:basedOn w:val="Standard"/>
    <w:next w:val="Standard"/>
    <w:link w:val="berschrift1Zchn"/>
    <w:uiPriority w:val="9"/>
    <w:qFormat/>
    <w:rsid w:val="00DA6D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A6D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A6D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A6D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A6D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A6D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A6D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A6D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A6D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A6D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A6D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A6D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A6DF5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A6DF5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A6DF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A6DF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A6DF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A6DF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A6D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A6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A6D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A6D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A6D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A6DF5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A6DF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DA6DF5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A6D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A6DF5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A6DF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Köberling</dc:creator>
  <cp:keywords/>
  <dc:description/>
  <cp:lastModifiedBy>Florian Köberling</cp:lastModifiedBy>
  <cp:revision>1</cp:revision>
  <dcterms:created xsi:type="dcterms:W3CDTF">2024-07-05T08:58:00Z</dcterms:created>
  <dcterms:modified xsi:type="dcterms:W3CDTF">2024-07-05T09:09:00Z</dcterms:modified>
</cp:coreProperties>
</file>