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C13" w:rsidRPr="00CE1C13" w:rsidRDefault="00CE1C13" w:rsidP="00CE1C13">
      <w:pPr>
        <w:spacing w:before="60" w:after="60" w:line="240" w:lineRule="auto"/>
        <w:rPr>
          <w:rFonts w:ascii="Times New Roman" w:eastAsia="Times New Roman" w:hAnsi="Times New Roman" w:cs="Times New Roman"/>
          <w:sz w:val="24"/>
          <w:szCs w:val="24"/>
          <w:lang w:eastAsia="de-AT"/>
        </w:rPr>
      </w:pPr>
      <w:bookmarkStart w:id="0" w:name="Ver"/>
      <w:r w:rsidRPr="00CE1C13">
        <w:rPr>
          <w:rFonts w:ascii="Arial" w:eastAsia="Times New Roman" w:hAnsi="Arial" w:cs="Times New Roman"/>
          <w:b/>
          <w:color w:val="000080"/>
          <w:sz w:val="28"/>
          <w:szCs w:val="20"/>
          <w:lang w:eastAsia="de-AT"/>
        </w:rPr>
        <w:t>Ver</w:t>
      </w:r>
      <w:bookmarkEnd w:id="0"/>
      <w:r w:rsidRPr="00CE1C13">
        <w:rPr>
          <w:rFonts w:ascii="Arial" w:eastAsia="Times New Roman" w:hAnsi="Arial" w:cs="Times New Roman"/>
          <w:b/>
          <w:color w:val="000080"/>
          <w:sz w:val="28"/>
          <w:szCs w:val="20"/>
          <w:lang w:eastAsia="de-AT"/>
        </w:rPr>
        <w:t>mittlung und Interesse - </w:t>
      </w:r>
      <w:r w:rsidRPr="00CE1C13">
        <w:rPr>
          <w:rFonts w:ascii="Arial" w:eastAsia="Times New Roman" w:hAnsi="Arial" w:cs="Times New Roman"/>
          <w:color w:val="000080"/>
          <w:sz w:val="28"/>
          <w:szCs w:val="20"/>
          <w:lang w:eastAsia="de-AT"/>
        </w:rPr>
        <w:t xml:space="preserve"> </w:t>
      </w:r>
    </w:p>
    <w:p w:rsidR="00CE1C13" w:rsidRPr="00CE1C13" w:rsidRDefault="00CE1C13" w:rsidP="00CE1C13">
      <w:pPr>
        <w:spacing w:before="60" w:after="60" w:line="240" w:lineRule="auto"/>
        <w:rPr>
          <w:rFonts w:ascii="Times New Roman" w:eastAsia="Times New Roman" w:hAnsi="Times New Roman" w:cs="Times New Roman"/>
          <w:sz w:val="24"/>
          <w:szCs w:val="24"/>
          <w:lang w:eastAsia="de-AT"/>
        </w:rPr>
      </w:pPr>
      <w:r w:rsidRPr="00CE1C13">
        <w:rPr>
          <w:rFonts w:ascii="Arial" w:eastAsia="Times New Roman" w:hAnsi="Arial" w:cs="Times New Roman"/>
          <w:b/>
          <w:color w:val="000080"/>
          <w:sz w:val="28"/>
          <w:szCs w:val="20"/>
          <w:lang w:eastAsia="de-AT"/>
        </w:rPr>
        <w:t xml:space="preserve">Zwei Schlüsselkategorien fachdidaktischer Grundlagen im Geographieunterricht </w:t>
      </w:r>
    </w:p>
    <w:p w:rsidR="00CE1C13" w:rsidRPr="00CE1C13" w:rsidRDefault="00CE1C13" w:rsidP="00CE1C13">
      <w:pPr>
        <w:spacing w:after="0" w:line="240" w:lineRule="auto"/>
        <w:rPr>
          <w:rFonts w:ascii="Times New Roman" w:eastAsia="Times New Roman" w:hAnsi="Times New Roman" w:cs="Times New Roman"/>
          <w:sz w:val="24"/>
          <w:szCs w:val="24"/>
          <w:lang w:eastAsia="de-AT"/>
        </w:rPr>
      </w:pPr>
      <w:r w:rsidRPr="00CE1C13">
        <w:rPr>
          <w:rFonts w:ascii="Arial" w:eastAsia="Times New Roman" w:hAnsi="Arial" w:cs="Times New Roman"/>
          <w:color w:val="000080"/>
          <w:sz w:val="24"/>
          <w:szCs w:val="24"/>
          <w:lang w:eastAsia="de-AT"/>
        </w:rPr>
        <w:t xml:space="preserve">Christian Vielhaber                 </w:t>
      </w:r>
      <w:r w:rsidRPr="00CE1C13">
        <w:rPr>
          <w:rFonts w:ascii="Arial" w:eastAsia="Times New Roman" w:hAnsi="Arial" w:cs="Times New Roman"/>
          <w:color w:val="000080"/>
          <w:sz w:val="20"/>
          <w:szCs w:val="20"/>
          <w:lang w:eastAsia="de-AT"/>
        </w:rPr>
        <w:t xml:space="preserve">Artikel aus : Vielhaber Ch. Hg. (1999): Fachdidaktik kreuz und quer. </w:t>
      </w:r>
    </w:p>
    <w:p w:rsidR="00CE1C13" w:rsidRPr="00CE1C13" w:rsidRDefault="00CE1C13" w:rsidP="00CE1C13">
      <w:pPr>
        <w:spacing w:after="0" w:line="240" w:lineRule="auto"/>
        <w:ind w:left="3000"/>
        <w:rPr>
          <w:rFonts w:ascii="Times New Roman" w:eastAsia="Times New Roman" w:hAnsi="Times New Roman" w:cs="Times New Roman"/>
          <w:sz w:val="24"/>
          <w:szCs w:val="24"/>
          <w:lang w:eastAsia="de-AT"/>
        </w:rPr>
      </w:pPr>
      <w:r w:rsidRPr="00CE1C13">
        <w:rPr>
          <w:rFonts w:ascii="Arial" w:eastAsia="Times New Roman" w:hAnsi="Arial" w:cs="Arial"/>
          <w:color w:val="000080"/>
          <w:sz w:val="20"/>
          <w:szCs w:val="20"/>
          <w:lang w:eastAsia="de-AT"/>
        </w:rPr>
        <w:t xml:space="preserve">Bd.15 der Materialien zur Didaktik der Geographie u. Wirtschaftskunde. </w:t>
      </w:r>
    </w:p>
    <w:p w:rsidR="00CE1C13" w:rsidRPr="00CE1C13" w:rsidRDefault="00CE1C13" w:rsidP="00CE1C13">
      <w:pPr>
        <w:spacing w:after="0" w:line="240" w:lineRule="auto"/>
        <w:ind w:left="3000"/>
        <w:rPr>
          <w:rFonts w:ascii="Times New Roman" w:eastAsia="Times New Roman" w:hAnsi="Times New Roman" w:cs="Times New Roman"/>
          <w:sz w:val="24"/>
          <w:szCs w:val="24"/>
          <w:lang w:eastAsia="de-AT"/>
        </w:rPr>
      </w:pPr>
      <w:hyperlink r:id="rId4" w:tgtFrame="_blank" w:history="1">
        <w:r w:rsidRPr="00CE1C13">
          <w:rPr>
            <w:rFonts w:ascii="Arial" w:eastAsia="Times New Roman" w:hAnsi="Arial" w:cs="Arial"/>
            <w:color w:val="0000FF"/>
            <w:sz w:val="20"/>
            <w:szCs w:val="20"/>
            <w:u w:val="single"/>
            <w:lang w:eastAsia="de-AT"/>
          </w:rPr>
          <w:t>Institut für Geographie Uni Wien</w:t>
        </w:r>
      </w:hyperlink>
      <w:hyperlink r:id="rId5" w:tgtFrame="_blank" w:history="1">
        <w:r w:rsidRPr="00CE1C13">
          <w:rPr>
            <w:rFonts w:ascii="Arial" w:eastAsia="Times New Roman" w:hAnsi="Arial" w:cs="Times New Roman"/>
            <w:color w:val="0000FF"/>
            <w:sz w:val="28"/>
            <w:szCs w:val="20"/>
            <w:u w:val="single"/>
            <w:lang w:eastAsia="de-AT"/>
          </w:rPr>
          <w:t xml:space="preserve"> </w:t>
        </w:r>
      </w:hyperlink>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b/>
          <w:sz w:val="28"/>
          <w:szCs w:val="20"/>
          <w:lang w:eastAsia="de-AT"/>
        </w:rPr>
        <w:t>1)</w:t>
      </w:r>
      <w:r w:rsidRPr="00CE1C13">
        <w:rPr>
          <w:rFonts w:ascii="Arial" w:eastAsia="Times New Roman" w:hAnsi="Arial" w:cs="Times New Roman"/>
          <w:sz w:val="28"/>
          <w:szCs w:val="20"/>
          <w:lang w:eastAsia="de-AT"/>
        </w:rPr>
        <w:t xml:space="preserve"> </w:t>
      </w:r>
      <w:r w:rsidRPr="00CE1C13">
        <w:rPr>
          <w:rFonts w:ascii="Arial" w:eastAsia="Times New Roman" w:hAnsi="Arial" w:cs="Times New Roman"/>
          <w:b/>
          <w:sz w:val="28"/>
          <w:szCs w:val="20"/>
          <w:lang w:eastAsia="de-AT"/>
        </w:rPr>
        <w:t>Einführende Bemerkungen</w:t>
      </w:r>
      <w:r w:rsidRPr="00CE1C13">
        <w:rPr>
          <w:rFonts w:ascii="Arial" w:eastAsia="Times New Roman" w:hAnsi="Arial" w:cs="Times New Roman"/>
          <w:sz w:val="28"/>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Der folgende Beitrag soll als Plädoyer zu Gunsten einer professionellen fachdidaktischen Begründungskompetenz verstanden werden. Diese ist seitens der Universität als grundlegender Ausbildungsstandard bei allen Absolventen des Lehramtstudienganges einzufordern, will man die Qualität des schulpraktischen Unterrichts im Vergleich zur aktuellen Situation (vgl. Götz 1995) ernsthaft und nachhaltig steigern.  .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w:t>
      </w:r>
      <w:r w:rsidRPr="00CE1C13">
        <w:rPr>
          <w:rFonts w:ascii="Arial" w:eastAsia="Times New Roman" w:hAnsi="Arial" w:cs="Times New Roman"/>
          <w:sz w:val="24"/>
          <w:szCs w:val="24"/>
          <w:lang w:eastAsia="de-AT"/>
        </w:rPr>
        <w:t xml:space="preserve">Unter fachdidaktischer Begründungskompetenz verstehe ich die Fähigkeit, auf der Grundlage  bewußt ausgewählter Theorien, Unterricht zu strukturieren und Steuerungselemente von Lehr- und Lernprozessen so einzusetzen, daß ein angestrebtes und wenn möglich mit den TeilnehmerInnen eines Lehr-Lernverbundes vereinbartes Unterrichtsergebnis erreicht wird. Als Vorbedingung dieser Begründungskompetenz gilt m.M. die Einsicht, daß das gesamte Spektrum schulpraktischer Bildungsbemühungen von der frontalen Vermittlung stoffbezogener Lerninhalte bis hin zu offenen Lernstrukturen, die auf Selbsttätigkeit und entdeckendem Lernen aufbauen, immer interessengeleitet ist. Sich über diese Interessen klarzuwerden, erachte ich als jene Schlüsselqualifikation, die Lehrenden die Rahmenbedingungen, unter welchen ihr unterrichtliches Handeln stattfindet und stattfinden kann, erst klar werden läßt.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b/>
          <w:sz w:val="28"/>
          <w:szCs w:val="20"/>
          <w:lang w:eastAsia="de-AT"/>
        </w:rPr>
        <w:t>2)</w:t>
      </w:r>
      <w:r w:rsidRPr="00CE1C13">
        <w:rPr>
          <w:rFonts w:ascii="Arial" w:eastAsia="Times New Roman" w:hAnsi="Arial" w:cs="Times New Roman"/>
          <w:sz w:val="28"/>
          <w:szCs w:val="20"/>
          <w:lang w:eastAsia="de-AT"/>
        </w:rPr>
        <w:t xml:space="preserve"> </w:t>
      </w:r>
      <w:r w:rsidRPr="00CE1C13">
        <w:rPr>
          <w:rFonts w:ascii="Arial" w:eastAsia="Times New Roman" w:hAnsi="Arial" w:cs="Times New Roman"/>
          <w:b/>
          <w:sz w:val="28"/>
          <w:szCs w:val="20"/>
          <w:lang w:eastAsia="de-AT"/>
        </w:rPr>
        <w:t xml:space="preserve">Was hat Habermas  mit der Fachdidaktik Geographie zu tun?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b/>
          <w:sz w:val="28"/>
          <w:szCs w:val="20"/>
          <w:lang w:eastAsia="de-AT"/>
        </w:rPr>
        <w:t> </w:t>
      </w:r>
      <w:r w:rsidRPr="00CE1C13">
        <w:rPr>
          <w:rFonts w:ascii="Arial" w:eastAsia="Times New Roman" w:hAnsi="Arial" w:cs="Times New Roman"/>
          <w:sz w:val="24"/>
          <w:szCs w:val="20"/>
          <w:lang w:eastAsia="de-AT"/>
        </w:rPr>
        <w:t xml:space="preserve">Eigentlich nichts, wenn ich die Zusammenhänge zwischen Unterrichtsinhalten und Interessensbindungen nicht sehen möchte. Dann muß ich mich aber auch der Einsicht verwehren, daß im Rahmen von Unterricht ebenso wie in den Sozialwissenschaften die „doppelte Hermeneutik“ wirksam wird (Habermas 1985, S. 162). Das bedeutet: Verstehensprobleme kommen nicht nur verursacht durch die Theorieabhängigkeit individueller Lernprozesse zum Tragen, sondern die Verstehensproblematik beginnt bereits bei der Auswahl von Inhalten bzw. unterrichtsleitenden Fragestellungen.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Warum, so könnte diesbezüglich reflektiert werden, gehen Lehrende davon aus, daß ein angestrebtes Lernziel über die </w:t>
      </w:r>
      <w:r w:rsidRPr="00CE1C13">
        <w:rPr>
          <w:rFonts w:ascii="Arial" w:eastAsia="Times New Roman" w:hAnsi="Arial" w:cs="Times New Roman"/>
          <w:sz w:val="24"/>
          <w:szCs w:val="20"/>
          <w:lang w:eastAsia="de-AT"/>
        </w:rPr>
        <w:lastRenderedPageBreak/>
        <w:t xml:space="preserve">thematische Erschließung X leichter, eindrucksvoller und nachhaltiger erreicht werden kann als beispielweise über  den inhaltlichen Zugang Y; oder, warum wird bei der Erschließung einer bestimmten Problemstellung so widerständig an einem bestimmten Vermittlungsritual festgehalten, obwohl die Erfahrung gelehrt hat, daß der gewählte fachdidaktische Zugang keinen Hund hinter dem Ofen hervorlocken, Verzeihung, keinen Schüler und keine Schülerin aus seiner bzw. ihrer Lethargie herauslösen kann?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Wenn ich also als Lehrender nicht willends bin, mich im Rahmen meiner Unterrichtsplanung willfährig curricularen Zielkatalogen oder ausformulierten Lehrbuchinhalten zu unterwerfen, und meinen Bildungsauftrag auch nicht darin sehe, gleichsam als Vollzugsorgan nicht reflektierter Lernkonzepte zu fungieren, dann hat Habermas in Bezug auf ein  umfassenderes Verständnis von  Fachdidaktik Geographie einiges anzubieten.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Aus der Fülle seines Angebotes möchte ich vor allem auf seine These zurückgreifen, die er in seinem ewig jungen Buch mit dem programmatischen Titel „Erkennntis und Interesse“ veröffentlicht hat und die da lautet, daß nicht nur der Verwertungszusammenhang sondern bereits dass Zustandekommen, also der Konstitutionszusammenhang von Erkenntnis interessengeleitet ist.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Erkenntnis selbst kann als ein Prozeß im Spannungsfeld von Wahrnehmung und Wirklichkeit gesehen werden und bedeutet gleichzeitig auch das Resultat dieses Prozesses. Wege zur Erkenntnis sind zahlreich und vielschichtig. Sie spannen sich von der Position, daß die wirkliche Welt tatsächlich so beschaffen ist, wie sie uns erscheint und daß alle realen Dinge und Prozesse logische Konstruktionen aus Sinnesdaten sind, bis zur reinen Vernunfterkenntnis, die Sinnes“Wahr“nehmung als verläßliche Erkenntnisquelle ausscheidet.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Wir Geographen haben uns immer sehr schwer getan, Erkenntnis oder für uns: „die Welt“ bzw. einen erdräumlichen Ausschnitt davon nicht nur als Abbild von Wirklichkeit zu  sehen, sondern als Konstruktion einer Wirklichkeit, die erst durch Kommunikation, durch Beziehungen mit der Umwelt Sinn erhält. Diese Deutungsschwierigkeiten lassen sich im Rahmen traditioneller Sichtweisen nicht so ohne weiteres aus dem Weg räumen. Offenbar bedarf es der Fähigkeit, Dinge oder auch Welt(bilder, -ausschnitte etc.) neu zu denken, um kommunikationsfähig in dem Sinn zu werden, nicht auf „eine Welt“ als unveränderbares Vermittlungsobjekt zu beharren, sondern eine bereits in einer bestimmten Weise vorstrukturierte Wirklichkeit zumindest als Möglichkeit zu akzeptieren und damit offen für weitere Deutungen zu sein. Gerade diese Akzeptanz würde uns als Lehrende die Perspektive eröffnen, gemeinsam mit unseren SchülerInnen einen Verständnisvorgang in Bezug auf Wirklichkeit einzuleiten, der konstruktiv vorangetrieben werden könnte. Der Unterricht  wäre </w:t>
      </w:r>
      <w:r w:rsidRPr="00CE1C13">
        <w:rPr>
          <w:rFonts w:ascii="Arial" w:eastAsia="Times New Roman" w:hAnsi="Arial" w:cs="Times New Roman"/>
          <w:sz w:val="24"/>
          <w:szCs w:val="20"/>
          <w:lang w:eastAsia="de-AT"/>
        </w:rPr>
        <w:lastRenderedPageBreak/>
        <w:t xml:space="preserve">damit jener Rahmen innerhalb dessen unterschieden wird zwischen „der Welt“ wie sie für uns als Lehrende erscheint und der Welt vom differenzierten Standpunkt der Handelnden aus. Die im Rahmen eines Lernprozesses vorgebrachten rationalen Deutungen, wären somit nicht das Ende eines Erklärungsansatzes sondern wären als Anfang zu verstehen, der sich auf der Grundlage kommunikativer Handlungen weiter entwickeln ließe. Der Frage welchen Interessen eine bestimmte Interpretation von „Welt“ = „Erkenntnis“ = „Vermittlungsinhalt“ im Rahmen der Auseinandersetzung über einen bestimmten Problemzusammenhang dient, käme für einen Bildungsweg, der die Erreichung reflexiver Fähigkeiten zum Ziel hat, zentrale Bedeutung zu.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Ausschlaggebend dabei ist die Klarlegung, wem die angepeilte Erkennntis eigentlich dienen bzw. nützen soll, welches erkenntnisleitende Interesse die Forschungsüberlegungen steuert. Habermas differenziert diesbezüglich grundlegend und gibt ein technisches, ein praktisches und ein emanzipatorisches Erkenntnisinteresse vor, wobei alle drei Interessensbereiche auf bestimmte Handlungskontexte verweisen, denen sie angehören und in denen sich Erkenntnisnormen und -gegenstände überhaupt erst konstituieren (vgl. dazu Schmidt-Wulffen 1998):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 Das „Technische Erkenntnisinteresse“ entspricht dem Typus des „Instrumentellen Handelns“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 Das „Praktische Erkennntisinteresse“ dem, des „Kommunikativen Handelns“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 Das „Emanzipatorische Erkenntnisinteresse dem, der praktisch und politisch folgenreichen Selbstreflexion.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b/>
          <w:sz w:val="28"/>
          <w:szCs w:val="20"/>
          <w:lang w:eastAsia="de-AT"/>
        </w:rPr>
        <w:t>3)</w:t>
      </w:r>
      <w:r w:rsidRPr="00CE1C13">
        <w:rPr>
          <w:rFonts w:ascii="Arial" w:eastAsia="Times New Roman" w:hAnsi="Arial" w:cs="Times New Roman"/>
          <w:sz w:val="28"/>
          <w:szCs w:val="20"/>
          <w:lang w:eastAsia="de-AT"/>
        </w:rPr>
        <w:t xml:space="preserve"> </w:t>
      </w:r>
      <w:r w:rsidRPr="00CE1C13">
        <w:rPr>
          <w:rFonts w:ascii="Arial" w:eastAsia="Times New Roman" w:hAnsi="Arial" w:cs="Times New Roman"/>
          <w:b/>
          <w:sz w:val="28"/>
          <w:szCs w:val="20"/>
          <w:lang w:eastAsia="de-AT"/>
        </w:rPr>
        <w:t>Warum sollen Erkenntniswege nicht auch Vermittlungswege sein?</w:t>
      </w:r>
      <w:r w:rsidRPr="00CE1C13">
        <w:rPr>
          <w:rFonts w:ascii="Arial" w:eastAsia="Times New Roman" w:hAnsi="Arial" w:cs="Times New Roman"/>
          <w:sz w:val="28"/>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w:t>
      </w:r>
      <w:r w:rsidRPr="00CE1C13">
        <w:rPr>
          <w:rFonts w:ascii="Arial" w:eastAsia="Times New Roman" w:hAnsi="Arial" w:cs="Arial"/>
          <w:sz w:val="24"/>
          <w:szCs w:val="20"/>
          <w:lang w:eastAsia="de-AT"/>
        </w:rPr>
        <w:t xml:space="preserve">Das Spannungsfeld „Wahrnehmung und Wirklichkeit“ kennzeichnet, wie wir oben bereits angedeutet haben,  nun sicherlich nicht nur Wege der Erkenntnis im wissenschaftlichen, sondern auch Wege der Vermittlung im didaktischen aber auch schulpraktischen Bereich.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w:t>
      </w:r>
      <w:r w:rsidRPr="00CE1C13">
        <w:rPr>
          <w:rFonts w:ascii="Arial" w:eastAsia="Times New Roman" w:hAnsi="Arial" w:cs="Arial"/>
          <w:sz w:val="24"/>
          <w:szCs w:val="20"/>
          <w:lang w:eastAsia="de-AT"/>
        </w:rPr>
        <w:t xml:space="preserve">Wenn ich diese Affinität als konstitutiv erachte, dann können wir uns dies auch zunutze machen und das Verhältnis „Realität und Erkenntnis“ auf das Verhältnis „Realität und Vermittlung“ transformieren oder umpolen, denn in beiden Fällen geht es um Fragen, die die Erfassung bzw. Übereinstimmung zwischen Welt und unserem Bild von der Welt betreffen. Eigentlich ist die Feststellung, daß Erkenntnissuche und -wege von unterrichtspraktischen Vermittlungsbemühungen gar nicht so weit entfernt sind „common sense“, denn was anderes erfahren und erleben SchülerInnen, die im Rahmen selbsttätigen und </w:t>
      </w:r>
      <w:r w:rsidRPr="00CE1C13">
        <w:rPr>
          <w:rFonts w:ascii="Arial" w:eastAsia="Times New Roman" w:hAnsi="Arial" w:cs="Arial"/>
          <w:sz w:val="24"/>
          <w:szCs w:val="20"/>
          <w:lang w:eastAsia="de-AT"/>
        </w:rPr>
        <w:lastRenderedPageBreak/>
        <w:t xml:space="preserve">entdeckenden Lernens  zu für sie neuen Einsichten vorstoßen als genau dasselbe, was WissenschafterInnen im Rahmen ihrer Erkenntnissuche erfahren und erleben.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Diese Übereinstimmung tritt allerdings nur dann auf, wenn den SchülerInnen ein Lerninhalt nicht stofflich fertigverpackt als eine Art Reproduktionsfutter vorgesetzt wird, ohne weitere Möglichkeit, die dem Lerninhalt immanenten Fragestellungen auf Grundlage persönlicher Zugänge zu erweitern. Lassen Sie uns also diesen Transfer  - in Anlehnung an Habermas -  etwas detaillierter vollziehen und tun wir ganz einfach so als ob „Erkenntnis“ und „Vermittlung“ das gleiche Paar Schuhe wären: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hyperlink r:id="rId6" w:anchor="Ver" w:history="1">
        <w:r w:rsidRPr="00CE1C13">
          <w:rPr>
            <w:rFonts w:ascii="Arial" w:eastAsia="Times New Roman" w:hAnsi="Arial" w:cs="Arial"/>
            <w:color w:val="0000FF"/>
            <w:sz w:val="15"/>
            <w:szCs w:val="15"/>
            <w:u w:val="single"/>
            <w:lang w:eastAsia="de-AT"/>
          </w:rPr>
          <w:t>zum Anfang</w:t>
        </w:r>
      </w:hyperlink>
      <w:r w:rsidRPr="00CE1C13">
        <w:rPr>
          <w:rFonts w:ascii="Arial" w:eastAsia="Times New Roman" w:hAnsi="Arial" w:cs="Times New Roman"/>
          <w:sz w:val="24"/>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b/>
          <w:sz w:val="28"/>
          <w:szCs w:val="20"/>
          <w:lang w:eastAsia="de-AT"/>
        </w:rPr>
        <w:t>4)</w:t>
      </w:r>
      <w:r w:rsidRPr="00CE1C13">
        <w:rPr>
          <w:rFonts w:ascii="Arial" w:eastAsia="Times New Roman" w:hAnsi="Arial" w:cs="Times New Roman"/>
          <w:sz w:val="28"/>
          <w:szCs w:val="20"/>
          <w:lang w:eastAsia="de-AT"/>
        </w:rPr>
        <w:t xml:space="preserve"> </w:t>
      </w:r>
      <w:r w:rsidRPr="00CE1C13">
        <w:rPr>
          <w:rFonts w:ascii="Arial" w:eastAsia="Times New Roman" w:hAnsi="Arial" w:cs="Times New Roman"/>
          <w:b/>
          <w:sz w:val="28"/>
          <w:szCs w:val="20"/>
          <w:lang w:eastAsia="de-AT"/>
        </w:rPr>
        <w:t>Nicht nur wissenschaftliche Erkenntnis sondern auch schulpraktische Vermittlung ist interessengeleitet</w:t>
      </w:r>
      <w:r w:rsidRPr="00CE1C13">
        <w:rPr>
          <w:rFonts w:ascii="Arial" w:eastAsia="Times New Roman" w:hAnsi="Arial" w:cs="Times New Roman"/>
          <w:sz w:val="28"/>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8"/>
          <w:szCs w:val="20"/>
          <w:lang w:eastAsia="de-AT"/>
        </w:rPr>
        <w:t> </w:t>
      </w:r>
      <w:r w:rsidRPr="00CE1C13">
        <w:rPr>
          <w:rFonts w:ascii="Arial" w:eastAsia="Times New Roman" w:hAnsi="Arial" w:cs="Times New Roman"/>
          <w:sz w:val="24"/>
          <w:szCs w:val="20"/>
          <w:lang w:eastAsia="de-AT"/>
        </w:rPr>
        <w:t xml:space="preserve">Was steht hinter den „schulpraktischen Vermittlungsinteressen“, die wir in der Folge auch „Bildungs-Ambitionen“, nennen können und die auf Grund bestehender (Aus)Bildungsdefizite in viel zu vielen Fällen auch unbewußt zu unterrichtsleitenden oder zumindest -steuernden Faktoren werden und welche Abhängigkeiten für den schulpraktischen Unterricht könnten in Bezug auf die ausdifferenzierten Iinteressenstypen im Hinblick auf die Trias Didaktik - Methodik-Unterrichtspraxis aufgezeigt werden?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Versuchen wir nun gemeinsam den Sprung von der Ebene doch eher abstrakter Typenvorstellung hin zu konkreten potentiellen Unterrichtsverläufen bzw. Lernprozessen, die den einzelnen ausdifferenzierten Interessensbindungen  unterliegen. Wie wäre beispielsweise ein Geographieunterricht vorstellbar, der Typ 1 zuordenbar wäre?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w:t>
      </w:r>
      <w:r w:rsidRPr="00CE1C13">
        <w:rPr>
          <w:rFonts w:ascii="Arial" w:eastAsia="Times New Roman" w:hAnsi="Arial" w:cs="Arial"/>
          <w:sz w:val="24"/>
          <w:szCs w:val="20"/>
          <w:lang w:eastAsia="de-AT"/>
        </w:rPr>
        <w:t xml:space="preserve">Dieser Unterrichtstyp weist eine Organisationsform auf, dessen Verlauf sich dadurch charakterisieren läßt, daß so ziemlich alle Inhalte, die in Form linearer Wissenvermittlung von Lehrpersonen an Schüler weitergegeben werden, ohne jeden weiteren Begründungszusammenhang in Form reines Reproduktionswissens prüfend abgefragt werden: Aus vielen vorstellbaren inhaltlichen Varianten nehmen wir beispielsweise das bei SchülerInnen,  LehrerInnen wie BuchautorInnen gleichermaßen beliebte Thema  Regenwald, um die Hintergründe unreflektierten Vorgehens zu verdeutlichen. Die Annäherung an die Themenstellung erfolgt, wie Unterrichtsbeobachtungen aber auch Analysen von Lehrbüchern belegen, vornehmlich über  Begriffsklärungen wie etwa Tropenklimat, Stockwerkkulturen, Zenitalregen, Edelholzarten etc. oder über Verteilungsmuster.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lastRenderedPageBreak/>
        <w:t> Das Angebot umfaßt ein Sammelsurium von Beliebigkeiten, deren Auswahl und Stellenwert für Bildung vom Adressaten eigentlich nicht nachvollzogen werden können, weil die Verwendungszusammenhänge nicht einsichtig sind. Selbst wenn alle möglichen Antworten, die auf Grund der potentiellen Ftagestellungenerbracht werden könnten, addiert würden, die SchülerInnen kämen doch zu keinem für sie sinnvollen Verwendungszusammenhang der aufgenommenen Informationen in Bezug auf den Lebensraum „Tropischer Regenwald“.Von der Qualität her ist es „totes Wissen“, das in diesem Fall transportiert wird. Dieses könnte erst dann zum Leben erweckt werden, wenn es in Beziehung zu den Interessen und Bedürfnissen der SchülerInnen tritt und zwar derart, daß es ihnen möglich gemacht wird, sich dieses Wissen produktiv anzueignen (Wofür kann ich das jetzt brauchen?) und kritisch weiterzuentwickeln (Wozu ist das eigentlich noch verwertbar? Haben die gewonnenen Einsichten für mich in irgendeiner Weise Bedeutung)</w:t>
      </w:r>
      <w:r w:rsidRPr="00CE1C13">
        <w:rPr>
          <w:rFonts w:ascii="Arial" w:eastAsia="Times New Roman" w:hAnsi="Arial" w:cs="Times New Roman"/>
          <w:sz w:val="28"/>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8"/>
          <w:szCs w:val="20"/>
          <w:lang w:eastAsia="de-AT"/>
        </w:rPr>
        <w:t xml:space="preserve"> Typ 2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8"/>
          <w:szCs w:val="20"/>
          <w:lang w:eastAsia="de-AT"/>
        </w:rPr>
        <w:t> </w:t>
      </w:r>
      <w:r w:rsidRPr="00CE1C13">
        <w:rPr>
          <w:rFonts w:ascii="Arial" w:eastAsia="Times New Roman" w:hAnsi="Arial" w:cs="Times New Roman"/>
          <w:sz w:val="24"/>
          <w:szCs w:val="20"/>
          <w:lang w:eastAsia="de-AT"/>
        </w:rPr>
        <w:t xml:space="preserve">Durch das Technische Vermittlungsinteresse werden inhaltlich Lernprozesse gesteuert, die kurz gesagt einer Wenn - Dann Rationalität unterliegen. Sie alle kennen diesbezügliche Beispiele: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„Wenn von den EU-Staaten die fiskalischen und monetären Konvergenzkriterien erfüllt wurden, dann ist die Zulassung zur Währungsunion legitim“ (Beispiel einer diesbezüglichen Arbeitsaufgabe: Ausgangspunkt ist eine Tabelle der EU Mitgliedstaaten aus der die entsprechenden Konvergenzkriterien ablesbar sind und die definierten Standards der Konvergenzkriterien, als Voraussetzung zum Eintritt in die Währungsunion - Liste jene Länder auf, die zum Zeitpunkt x zur Währungsunion zugelassen werden, wenn die angegebenen Grenzwerte als Zulassungskriterien  erfüllt sein müssen)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w:t>
      </w:r>
      <w:r w:rsidRPr="00CE1C13">
        <w:rPr>
          <w:rFonts w:ascii="Arial" w:eastAsia="Times New Roman" w:hAnsi="Arial" w:cs="Arial"/>
          <w:sz w:val="24"/>
          <w:szCs w:val="20"/>
          <w:lang w:eastAsia="de-AT"/>
        </w:rPr>
        <w:t xml:space="preserve">„Wenn ein bestimmtes Einkommen erreicht wird, dann kommen spezifische Kriterien der Wohnstandortwahl zum Tragen“ (Beispiel einer diesbezüglichen Arbeitsaufgabe: Ausgangspunkt sind Informationen über Einkommens und Vermögenssituation von bestimmten Privathaushalten, sowie über ihre soziale Struktur und die Immobilieninserate der Wochenendausgabe einer Tageszeitung -  Begib dich auf Wohnungssuche. Welche Angebote des Immobilienmarktes kommen für Dich auf Grund der budgetären Lage des dir zugeteilten Hauhaltes (Schüler erhält für zugeteilten Haushaltstyp bestimmte Farbklebepunkte) in Betracht? Trage die gefundenen Standorte in den an der Tafel angebrachten Stadtplan mittels der entsprechenden Farbklebepunkten  ein  )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„Wenn alpiner Raum dann Grünlandwirtschaft“ (Beispiel einer diesbezüglichen Arbeitsaufgabe: Ausgangpunkt sind die Bodennutzungsarten auf Gemeindebasis entsprechend den </w:t>
      </w:r>
      <w:r w:rsidRPr="00CE1C13">
        <w:rPr>
          <w:rFonts w:ascii="Arial" w:eastAsia="Times New Roman" w:hAnsi="Arial" w:cs="Times New Roman"/>
          <w:sz w:val="24"/>
          <w:szCs w:val="20"/>
          <w:lang w:eastAsia="de-AT"/>
        </w:rPr>
        <w:lastRenderedPageBreak/>
        <w:t>Zensusangaben von ausgewählten alpinen Gemeinden und ihren Nachbargemeinden, die bereits im Alpenvorland liegen. - Zeichne auf einer entsprechenden Karte  die Grenze des Alpenraumes in den vorgegebenen Kartenausschnitt ein und färbe entsprechend den Angaben der verfügbaren Statistik die Gemeindeflächen mit dominanter Grünlandwirtschaft mit grüner Farbe, die Gemeinden, in denen andere Bodennutzungsarten vorherrschen mit brauner Farbe ein.)</w:t>
      </w:r>
      <w:r w:rsidRPr="00CE1C13">
        <w:rPr>
          <w:rFonts w:ascii="Arial" w:eastAsia="Times New Roman" w:hAnsi="Arial" w:cs="Times New Roman"/>
          <w:sz w:val="24"/>
          <w:szCs w:val="24"/>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w:t>
      </w:r>
      <w:r w:rsidRPr="00CE1C13">
        <w:rPr>
          <w:rFonts w:ascii="Arial" w:eastAsia="Times New Roman" w:hAnsi="Arial" w:cs="Arial"/>
          <w:sz w:val="24"/>
          <w:szCs w:val="20"/>
          <w:lang w:eastAsia="de-AT"/>
        </w:rPr>
        <w:t xml:space="preserve">Etc., etc.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w:t>
      </w:r>
      <w:r w:rsidRPr="00CE1C13">
        <w:rPr>
          <w:rFonts w:ascii="Arial" w:eastAsia="Times New Roman" w:hAnsi="Arial" w:cs="Arial"/>
          <w:sz w:val="24"/>
          <w:szCs w:val="20"/>
          <w:lang w:eastAsia="de-AT"/>
        </w:rPr>
        <w:t xml:space="preserve">Tragfähigkeitsüberlegungen, Bestimmung von Armutsgrenzen und Entwicklungsstandards bis hin zu Maßstabsarbeiten und Zuordnungsaufgaben zu spezifischen Klassen, Zonen oder Gruppen, all das kann unterrichtlich unter diesem Typ subsummiert werden.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w:t>
      </w:r>
      <w:r w:rsidRPr="00CE1C13">
        <w:rPr>
          <w:rFonts w:ascii="Arial" w:eastAsia="Times New Roman" w:hAnsi="Arial" w:cs="Arial"/>
          <w:sz w:val="24"/>
          <w:szCs w:val="20"/>
          <w:lang w:eastAsia="de-AT"/>
        </w:rPr>
        <w:t xml:space="preserve">Das grundlegende Problem dieses Ansatzes ist uns allerdings allen geläufig: Es ist die ihm immanente Dogmatik, die für den Geographieunterricht lautet: Wie ich als Lehrer die Welt sehe, ist es richtig, wenn du (Schüler) es anders siehst, bist du entweder dumm oder feindselig. Das Dilemma einer exklusiv zweckrational gesteuerten Didaktik besteht darin, daß es im Rahmen jeglicher Problemerschließung eine Anfangsursache und eine(n)  Schuldige(n) geben muß, wenn etwas nicht funktioniert. Doch wir  VertreterInnen  der Wissenschaft und der Schulpraxis sollten inzwischen im Umgang mit der Realität sehr wohl gelernt haben, daß sich ein System auch dann als nicht funktionsfähig erweisen kann, wenn sich alle Beteiligten aus ihrer Sicht wohlwollend und rational verhalten.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Ein Unterricht, der gleichsam exklusiv  über das Technische Vermittlungsinteresse gesteuert wird, greift also in vielen Fällen vorstellbarer Auseinandersetzungen mit gegenwartsorientierten Fragestellungen zu kurz, um den SchülerInnen für sie einsichtige Begründungs- und Verwertungszusammenhänge zu vermitteln.</w:t>
      </w:r>
      <w:r w:rsidRPr="00CE1C13">
        <w:rPr>
          <w:rFonts w:ascii="Arial" w:eastAsia="Times New Roman" w:hAnsi="Arial" w:cs="Times New Roman"/>
          <w:sz w:val="28"/>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hyperlink r:id="rId7" w:anchor="Ver" w:history="1">
        <w:r w:rsidRPr="00CE1C13">
          <w:rPr>
            <w:rFonts w:ascii="Arial" w:eastAsia="Times New Roman" w:hAnsi="Arial" w:cs="Arial"/>
            <w:color w:val="0000FF"/>
            <w:sz w:val="15"/>
            <w:szCs w:val="15"/>
            <w:u w:val="single"/>
            <w:lang w:eastAsia="de-AT"/>
          </w:rPr>
          <w:t>zum Anfang</w:t>
        </w:r>
      </w:hyperlink>
      <w:r w:rsidRPr="00CE1C13">
        <w:rPr>
          <w:rFonts w:ascii="Arial" w:eastAsia="Times New Roman" w:hAnsi="Arial" w:cs="Times New Roman"/>
          <w:sz w:val="28"/>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8"/>
          <w:szCs w:val="20"/>
          <w:lang w:eastAsia="de-AT"/>
        </w:rPr>
        <w:t xml:space="preserve"> Typ 3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Kommt der Lernprozeß in eine Phase, in der das praktische Vermittlungsinteresse leitend wird, ist damit - klar erkennbar - eine Expansion des Subjektiven verbunden und der Aspekt einer differenzierten Wertebegründung bezüglich problematisierter Fragestellungen. Allerdings: Die Wertezuweisungen im grundsätzlichen Bereichen werden von außen vorgegeben. Dadurch wird ein gesellschaftlicher Rahmen aufgebaut, innerhalb dessen sich Schüler und Lehrer konsumierend, fragend und suchend bewegen. Die gesamte Interaktion, die im Unterricht zwischen den Beteiligten  abläuft, alles Handeln, Diskutieren und Reflektieren, das </w:t>
      </w:r>
      <w:r w:rsidRPr="00CE1C13">
        <w:rPr>
          <w:rFonts w:ascii="Arial" w:eastAsia="Times New Roman" w:hAnsi="Arial" w:cs="Times New Roman"/>
          <w:sz w:val="24"/>
          <w:szCs w:val="20"/>
          <w:lang w:eastAsia="de-AT"/>
        </w:rPr>
        <w:lastRenderedPageBreak/>
        <w:t xml:space="preserve">Aufzeigen aller möglichen Perspektiven einer Fragestellung u.v.a.m. spielt sich in einem quasi abgesteckten, gesellschaftlich akzeptierten Rahmen ab. Die Ethik, die eingemahnt wird, ist immer einer christlich abendländische sowie eine pluralistisch demokratische, was außerhalb dieser Perspektiven liegt, erscheint den Beteiligten am Lernprozeß ganz einfach als nicht existent. Kurz: Die didaktische Aufgabenstellung läßt sich klar formulieren. Es werden Lebenssituationen entworfen, die sich an einer fortgeschrittenen Moderne orientieren und für die gilt es für die SchülerInnen Bewährungs- und Bewältigungsszenarien zu entwerfen.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Wenn wir uns fragen, entlang welcher didaktischer Leitlinien sich ein Unterricht überzeugend entwickeln läßt, der dem praktischen Vermittlungsinteresse folgt, gibt es wohl nur eine Antwort: Es ist der curriculare zielorientierte Ansatz, der durch seine „Lebenssituationsorientierung“ das „praktische Vermittlungsinteresse“ gleichsam manifest machte.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Diese Ausrichtung an potentiellen realen Situationen des Lebens, wurde ab den Achtziger Jahren, als das Lernen mit allen Sinnen wiederentdeckt wurde, zweifelsohne mit- beeinflußt vom Alltags- und Lebensweltansatz des Alfred Schütz. Die Verwertungsidee für einen geographischen Unterricht erscheint ja vordergründig wirklich als zwingend: Die Analyse der Strukturen der Lebenswelt des Alltags geht von der Erkenntnis aus, daß Alltagshandlungen kein Produkt von Beliebigkeiten darstellen, sondern daß sie bestimmten Regeln und Methoden unterliegen.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Die Botschaft an die FachdidaktikerInnen der Geographie, zumindest an jene, die sich ein wenig mit einschlägiger Fachliteratur (z.B.: Weichhart,Werlen: Raum und alltagliche Lebenswelten), mit Literatur der allgemeinen Didaktik (z.B.:Salzberger-Wittenberg:Pädagogik der Gefühle, Mayer, H.: Handlungsorientierung) und der Erkenntnistheorie (z.B.: Schütz, Luckmann: Strukturen der Lebenswelt) auseinandersetzten, schien damit eindeutig: Es gibt gleichsam für alle Mitglieder sozialer Gruppen -  im Rahmen eines gemeinsamen Zeit-Raum Kontinuums - verbindliche Lebenssituationen des Alltags, die man exemplarisch auswählen, systematisieren und funktional zuordnen kann.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Bei der Übernahme des Gedankengebäudes der „Lebens- und Alltagswelt“ trat allerdings in gar nicht so wenigen Fällen ein Problem auf, das sich vielfach bereits bei jenen fach-didaktischen Transferleistungen abzeichnete, durch die der Schulgeographie die Ideen der  Curriculumtheorie des Saul Robinsohn erschlossen werden sollten: Das verfügbare Theoriekonzept wurde von vielen FachdidaktikerInnen nicht umfassend gedacht sondern auf eine leichte Verwendbarkeit für die Unterrichtspraxis hin abgeklopft. Die Konsequenz daraus war, daß plakativ verkürzte und vereinfachte Botschaften in die Geographie-didaktik transferiert wurden, die </w:t>
      </w:r>
      <w:r w:rsidRPr="00CE1C13">
        <w:rPr>
          <w:rFonts w:ascii="Arial" w:eastAsia="Times New Roman" w:hAnsi="Arial" w:cs="Times New Roman"/>
          <w:sz w:val="24"/>
          <w:szCs w:val="20"/>
          <w:lang w:eastAsia="de-AT"/>
        </w:rPr>
        <w:lastRenderedPageBreak/>
        <w:t xml:space="preserve">vielfach aus dem Zusammenhang  des ursprünglichen gesamtheitlich gedachten Konzeptes gerissen erscheinen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Der Zweck eines solchen Vorgehens erscheint vor dem Hintergrund der Tatsache, daß Lehrpläne an den Schulen dem Kriterium der Wissenschaftsorientierung zu entsprechen haben, klar: Es geht um eine theoriebezogene Absicherung von jenen Themenstellungen, die schülerorientiert vermittelt werden, d. h. der spezifische Lernprozeß nimmt seinen Ausgang bei Problemstellungen, die in einem direkten Zusammenhang mit lebenswelt-lichen Erfahrungshorizonten der SchülerInnen stehen. Immerhin, ein Blick in die einschlägigen fachdidaktischen Journale der letzten Jahre zeigt, daß auf der Ebene der publizierten unterrichtsunterstützenden Medien die Perspektiven einer Fachdidaktik Geographie zumindestens ansatzweise in Richtung pluraler Sinndeutung, Lebensnähe, Konstruktivität etc. erweitert wurde: Den Schülern wurden die ausgewählten Lebens-situationen als Unterrichtsinhalte zugeführt und es wurde ihnen suggeriert: Schaut her, das sind eure Lebens- und Alltagswelten und was wir machen, ist  daher lebensnaher Unterricht.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Aber diese Einschätzung ist nicht haltbar. Was auf diese Weise in den Unterricht projeziert wird, sind nicht die Alltagswelten der Schüler, es sind synthetische Versatzstücke, inhaltliche Fertigpakete, die angeleitet von einer Fast Food Didaktik konsumiert werden (müssen). Man kann  es auf den Punkt bringen: Der Alltag aus der Alltagswelt kann dem Schüler nicht vorgeschrieben werden und die Lebenswelt wird sich wohl am Leben der SchülerInnen orientieren müssen, will man ihr fachdidaktische Relevanz einhauchen.. Offensichtlich läßt sich, wie Schmidt Wulffen(1998) es ausdrückt, eine didaktische Lebens- und Alltagsweltorientierung nicht durch den Rückgriff aud die Fachwissenschaft begründen, sondern bedarf der Orientierung auf die eigenen Fragestellungen der Schüler, bedarf des Bezuges zur eigenen Person sowie zu Handlungssituationen und Verwertungs-zusammenhängen, um Lernen als sinnvoll erlebbar zu machen.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Mit ein Ziel einer so verstandenen lebensweltlichen Orientierung wäre es, den SchülerInnen die Möglichkeit einzuräumen, sich reflektierend über ihre Lebenswelt, die bisher unreflektierte Erfahrungsbasis war,  zu erheben (natürlich ohne sich von ihr distanzieren zu können). Dieser Reflexionsprozeß  bezieht alle Erinnerungen, gegenwärtigen Handlungen und zukünftige Hoffnungen mit ein und schafft damit die Voraussetzung für jene Horizonterweiterung, die neue Spielräume für Problemannäherungen und Handlungsalternativen eröffnet und die geltenden Standards für Interaktionen und Wertungen, wie sie durch die bislang festgelegten Erwartungstrukturen und Sinnhorizonte definiert wurden, neu absteckt (vgl. Hierdeis und Hug 1996, S. 634ff).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lastRenderedPageBreak/>
        <w:t xml:space="preserve">Allerdings findet sich in unserer heutigen hochtechnisierten Gesellschaft die Bereiche  Alltag, System und Lebenswelt zumeist derartig labyrinthisch verzahnt (Stichworte: Multikulturelle Gesellschaften, Globalisierung, Delokalisierung etc.), sodaß ein Verstehen von und ein Aufklären über die gesellschaftliche Konstruktion von Lebenswelten und Weltbildern ungemein erschwert wird. Trotzdem ist aber aus fachdidaktischer Sicht  eine bestimmte Strategie der Problemannäherung, die für sich in Anspruch nimmt, komplexe Dinge vereinfacht darzustellen, auf jeden Fall abzulehnen und zwar weil deren Glaubwürdigkeit und Brauchbarkeit bisher einer näheren Überprüfung niemals haben standhalten können  - Es ist jene Strategie mit der auf Vordergründigkeit getrimmten Problemlösungskonzepte über „raumrelevante schulgeographische Unterrichtseinheiten“ in die Klassenzimmer transportiert werden. Der damit verbundene fachdidaktische Verwertungszusammenhang reduziert sich dabei gleichsam ausschließlich auf die Bereitsstellung einer stofflichen Grundlage für den Unterricht. Das bedeutet konkret, daß Unterricht nicht von vereinfachten (fach) reduktionistischen Problemstellungen ausgehen sollte, sondern vielmehr sollte die Realität unstrukturierter Probleme zugrunde gelegt werden (vgl. dazu Schmidt-Wulffen 1998)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Die Aufgabe des Lehrers wäre es dann, seine SchülerInnen über nicht erkannte Bedeutsamkeiten aufzuklären, über indirekte Betroffenheiten, um ihnen  die Möglichkeit zu eröffnen, diese Angebote in einen persönlichen Handlungs- und Bedeutungskontext zu integrieren. Daraus könnten sich im Unterricht unterschiedliche einander widersprechende Positionen entwickeln, die Anlaß zu Auseinandersetzungen sein könnten, in deren Rahmen auch inhaltliche Fehler, die beispielsweise ihre Ursache in fehlenden oder/und falschen Informationen haben, durch Einsicht korrigierbar wären. Das setzt aber ein hohes Maß an pädagogischer und kommunikativer Kompetenz seitens der Lehrenden voraus, die leider derzeit vielfach nicht verfügbar ist .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hyperlink r:id="rId8" w:anchor="Ver" w:history="1">
        <w:r w:rsidRPr="00CE1C13">
          <w:rPr>
            <w:rFonts w:ascii="Arial" w:eastAsia="Times New Roman" w:hAnsi="Arial" w:cs="Arial"/>
            <w:color w:val="0000FF"/>
            <w:sz w:val="15"/>
            <w:szCs w:val="15"/>
            <w:u w:val="single"/>
            <w:lang w:eastAsia="de-AT"/>
          </w:rPr>
          <w:t>zum Anfang</w:t>
        </w:r>
      </w:hyperlink>
      <w:r w:rsidRPr="00CE1C13">
        <w:rPr>
          <w:rFonts w:ascii="Arial" w:eastAsia="Times New Roman" w:hAnsi="Arial" w:cs="Times New Roman"/>
          <w:sz w:val="24"/>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4"/>
          <w:lang w:eastAsia="de-AT"/>
        </w:rPr>
        <w:t xml:space="preserve"> </w:t>
      </w:r>
      <w:r w:rsidRPr="00CE1C13">
        <w:rPr>
          <w:rFonts w:ascii="Arial" w:eastAsia="Times New Roman" w:hAnsi="Arial" w:cs="Arial"/>
          <w:sz w:val="28"/>
          <w:szCs w:val="20"/>
          <w:lang w:eastAsia="de-AT"/>
        </w:rPr>
        <w:t xml:space="preserve">Typ 4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8"/>
          <w:szCs w:val="20"/>
          <w:lang w:eastAsia="de-AT"/>
        </w:rPr>
        <w:t> </w:t>
      </w:r>
      <w:r w:rsidRPr="00CE1C13">
        <w:rPr>
          <w:rFonts w:ascii="Arial" w:eastAsia="Times New Roman" w:hAnsi="Arial" w:cs="Times New Roman"/>
          <w:sz w:val="24"/>
          <w:szCs w:val="20"/>
          <w:lang w:eastAsia="de-AT"/>
        </w:rPr>
        <w:t xml:space="preserve">Im Rahmen eines kontinuierlichen Lernprozesses, der von Typ 1 seinen Ausgang nimmt und in späterer Folge in Typ 2 bzw. 3 übergeht, würden nunmehr Sachverhalte die technisch-zweckrational und praktisch aufgearbeitet wurden, nach möglichen Alternativen oder Widersprüchen unter dem leitenden Interesse an Mündigkeit und Selbstbestimmung befragt werden. Aber nicht nur der Maßstab der individuellen persönlichen Mündigkeit ist hier gefragt, sondern es soll auch das solidarische Interesse an der Selbstbestimmung jeweils anderer vorzugsweise Betroffener in Konflikt- und Problemfällen geweckt und geschult werden, um mittels emphatischer Zugänge die Einsicht in die wechselseitige </w:t>
      </w:r>
      <w:r w:rsidRPr="00CE1C13">
        <w:rPr>
          <w:rFonts w:ascii="Arial" w:eastAsia="Times New Roman" w:hAnsi="Arial" w:cs="Times New Roman"/>
          <w:sz w:val="24"/>
          <w:szCs w:val="20"/>
          <w:lang w:eastAsia="de-AT"/>
        </w:rPr>
        <w:lastRenderedPageBreak/>
        <w:t xml:space="preserve">Bedingtheit individueller Selbst- und Mitbestimmungsmöglichkeiten auf der einen Seite und der umgebenden Gesellschaft auf der anderen Seite zu ermöglichen.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Wäre die oben angeführte Passage Teil eines Referates vor SchulpraktikerInnen, so  wäre an dieser Stelle üblicherweise ein Zwischenruf zu erwarten:“Und wie stellen sie sich die Umsetzung in die Unterrichtspraxis vor?“ Meine Antwort wäre: „Ganz einfach“ - das sich auf Habermas beziehende kritisch emanzipatorische Vermittlungsinteresse teilt ja nicht die radikale Vernunftkritik, die der Didaktik der Aufklärung immanent ist und ermöglicht daher auch ganz simple lebens- und alltagsweltlich relevante Zugänge, die unterrichtspraktisch ohne viel Aufwand umsetzbar erscheinen  und trotzdem geeignet sind, über Zusammenhänge, die Wirklichkeit konstruieren, aufzuklären. Daher sind Reflexionen über Widersprüche (Wieso ist der lokale Apfel teurer als die weitgereiste Banane? Wie kommt es zu Isolation und Einsamkeit in der Großstadt? Wieso geht es mir so schlecht, obwohl es uns doch allen so gut geht? Wieso ist mir fad, obwohl ich hundert Sachen zum Spielen habe? Wieso muß ich am Wochenende mit meinen Eltern in den Zweitwohnsitz fahren, obwohl es mir in der Stadt viel besser gefällt) und die Herausarbeitung von Gegensätzlichem (Was wird eigentlich außerwertgesetzt, wenn wir etwas inwertsetzen?) ebenso zulässig, wie grundsätzliche Fragen künftiger Lebensorientierung (Müssen die Bewohner der Dritten Welt wirklich arm bleiben, damit wir unseren Wohlstand halten können?)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Paul Watzlawik hat der Horizonterweiterung durch dialektische Reflexion einen prägnanten Aphorismus gewidmet: Wer seine Lage verbessern will, muß darüber nachdenken, was er tun müßte, um sie zu verschlechtern. Doch gehen wir zurück zu den Möglichkeiten, die sich daraus für den Geographieunterricht ergeben, so öffnet sich ein weites Feld von Fragehorizonten, denen wir am Beispiel touristischer Erschließungnachgehen wollen: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Eine ganze Reihe von Szenarien sind vorstellbar, die dem Schüler die Möglichkeit eröffnen, seine Fähigkeiten zur kritischen Selbstrefexion zu überprüfen.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Hier: die gesunde Bergwelt, die politisch beschworen und in Tourismusprospekten beworben wird,  da: die brüchig gewordenen Bannwälder und die erodierten Hänge, die kein Wasser mehr halten können. Auf der einen Seite  die Fokusierung des Blickes auf die hartnäckigen Versuche des Menschen, aus ökonomischen Erwägungen heraus die Emanzipation von der Natur siegreich voranzutreiben und auf der anderen Seite die Verdeutlichung der Perspektive, daß dieser Weg kläglich gescheitert ist und sich diese Niederlage in vielfältiger Weise gleichsam einzementiert abzeichnet und zwar in immer wieder verlängerten und erweiterten Lawinenverbauungen, die das menschliche Schutzbedürnis doch nur vordergründig befriedigen können; bei neu und rückgebauten </w:t>
      </w:r>
      <w:r w:rsidRPr="00CE1C13">
        <w:rPr>
          <w:rFonts w:ascii="Arial" w:eastAsia="Times New Roman" w:hAnsi="Arial" w:cs="Times New Roman"/>
          <w:sz w:val="24"/>
          <w:szCs w:val="20"/>
          <w:lang w:eastAsia="de-AT"/>
        </w:rPr>
        <w:lastRenderedPageBreak/>
        <w:t xml:space="preserve">Wildbachregulierungen, die das Bedrohungspotential nur räumlich verlagern, letztlich aber nicht verhindern konnen;  bei Kanalisierungen, die mit den dynamischen Siedlungserweiterungen niemals Schritt halten können, etc.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Gerade am Beispiel der Lawinenverbauungen  lassen sich Horizonterweiterungen hinsichtlich allfälliger Problemstellungen geradezu idealtypisch vorbereiten, denn derlei bauliche Maßnahmen dienen bei weitem nicht nur dem Schutz der Menschen, wie immer wieder beschworen wird, nein, sie dienen heute auch und vielleicht sogar vor allen Dingen dem Schutz fremdenverkehrstechnischer Infrastruktur in Gebieten, in denen noch vor wenigen Jahrzehnten kein Mensch zu finden war, und sie  stehen als Symbole für den Mythos „Mensch und Berg“ mit dem sich nicht nur in Tirol trefflich Politik machen läßt. Einige Beispiele gefällig: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Das Kühtai, eine Skiarena im Bereich zwischen Sellrain und Ötztal gelegen mußte mit Millionenaufwand verkehrstechnisch erschlossen werden, um den Touristen die hochalpine Peripherie zugänglich zu machen, während das schnee- und lawinensichere Gebiet am Talausgang unausgebaut blieb. Fragt man nach den Ursachen, kommt der Faktor regionalpolitischer Machtspiele in den Blickwinkel, der einem ansonsten verschlossen bliebe.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Im Tiroler Lechtal wird derzeit in einer kleinen Ortschaft um fast 30 Millionen Schillinge eine Lawinenverbauung errichtet, um fünf Häuser zu schützen. Pikanterweise wurden vier  dieser Gebäude erst in jüngerer Vergangenheit ohne Genehmigung in der gelben Gefahrenzone erbaut. Offensichtlich zählt die Erhaltung eines Mythos mehr als die Tatsache der Illegalität von Bauvorhaben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Nicht weniger reflexionswert ist das nächste Beispiel: Um mehr als hundert Millionen Schillingen wird eine wintersichere Zufahrt nach Grameis errichtet, mit 52 Einwohnern die bevölkerungsschwächste Gemeinde Österreichs, acht Kilometer abseits des Lechtales in einer hochalpinen Region gelegen. Im gleichen Zeitraum wird für Österreich  ein Sparpaket geschnürt, das soziale Randgruppen, wie etwa alleinerziehende Mütter besonders hart trifft, das Bauern im Haupttal ums Überleben kämpfen läßt und Familien mit studierenden Kindern durch Kürzung der Familienbeihilfen und Freifahrtzuschüsse das Haushaltsbudget merkbar einengt. Mit welchem interessensgeleiteten Zugang könnte den Hintergründen einer derart  widersprüchlichen Verteilung auf die Spur gekommen werden, wenn nicht mittels kritisch reflektierendem Zugang? Der möglichen Themen sind viele und wohl jeder Schulstandort hat in seinem Umfeld ein oder mehrere „Kühtais`und Gramais`, die es sich lohnt aufzuspüren, um die Hintergründe raumstrukturierender Kräfte und damit spezifische Macht- Herrschaftskonstellationen deutlich zu machen.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lastRenderedPageBreak/>
        <w:t xml:space="preserve"> Spinnen wir die möglichen Fragekreise weiter: Wer sind beispielsweise im alpinen Fremdenverkehrsraum die Verlierer, die Nutznießer oder Gewinner einer Entwicklung, die innerhalb einer Generation einen völligen Wandel ökonomischer und sozialer Strukturen herbeigeführt hat?: Was ist mit SaisonarbeiterInnen, die allzu oft unangemeldet und unterbezahlt ihren Dienst versehen, was mit der bäuerlichen Bevölkerung, die zunehmend ihrer eigenen Authentizität entfremdet wird und den Ausverkauf ihrer Heimat erlebt. Oder vielleicht geht die Entwicklung doch in`s Positive und die angesprochenen Gruppen haben durch den Kontakt mit importierten meist urbanen Lebensformen neue soziale und materielle Sicherheit gewonnen? Wo sind die Frauen in sozialer Hinsicht heute im Vergleich zu früher zu positionieren, nachdem sie durch die geänderten Ansprüche einer fremdenverkehrsorientierten Wirtschaft neue Aufgaben übernehmen mußten?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Wie gehen wir mit offensichtlichen Widersprüchen um, die viele von uns selbst erfahren? Wie erleben: und kommentieren wir das seltsame Szenario von mehr oder weniger leicht geschürzten Menschenmassen in  einer seilbahnerschlossenen hochalpinen Gletscherregion. Naturnähe und Einsamkeit versus Seilbahnerschließung und Hochalpenstraßen ist aber nur ein Beispiel unter zahlreichen anderen, die für SchülerInnen gesellschaftlich produzierte Widersprüche anschaulich und damit problematisiebar  machen kann.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Wie gezeigt, es gibt vielfältige Fragen, an die SchülerInnen herangeführt werden können, um ihnen die Möglichkeit zu erschließen, ihre persönliche auch indirekte Betroffenheit zu erfahren und mit denen sie sich refelexiv auseinandersetzen können. Dabei lernen sie auch die Grenzen ihres Wissens im Zusammenhang mit der Klärung von Fragen kennen und sie erleben eine Schlüsselerfahrung: Man braucht neues Wissen, um Antworten auf neue Fragen zu finden und es ist notwendig und wichtig im Diskurs getroffene Aussagen auf die vorgegebene gesellschaftliche und politische Realität zurückzubeziehen, weil nur so kann herausgefunden werden, welche möglichen Konsequenzen aus vorgeschlagenen Alternativen erwachsen können und es kann gezeigt werden,  daß vordergründig klare Problemlösungen sehr oft unbeabsichtigte Folgen zeitigen können. Das Verhältnis von Theorie und Praxis ist eben so einfach nicht und auch im Rahmen fachdidaktischer Bemühungen ist es hoch an der Zeit, jene Lebensbewältigungsideologie aufzugeben, die den Nährboden für Didaktiken abgibt, die dazu anhalten, SchülerInnen zu lehren, daß mittels simpler Rationalstrategien nachhaltige Verbesserungen in komplexen Fragen  erreichbar sind. Diese Einsicht ist im Rahmen unseres Faches vor allem an der Problemlösungsdidaktik früherer Jahre spurlos vorbeigegangen und die findet sich auch heute noch bei all jenen  Lehrenden, die bestrebt sind, singuläre Wahrheiten zu vermitteln.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lastRenderedPageBreak/>
        <w:t xml:space="preserve"> Vor dem Einstieg in diese Phase reflektierender Bewußtseinserweiterung ist allerdings die didaktische Professionalität der Lehrperson gefragt, die aufzuzeigen hat, wie der begrenzte Horizont einer bereits abgeschlossenen Problemstellung einer kritisch-konstruktiven Erweiterung zugeführt werden kann, mit dem Ziel nicht nach einer perfekten utopischen Lösung zu suchen, sondern nach einer mit der Betroffene leben können. Es wäre auch durchaus ratsam sich nach Jahren in welchen das Unmögliche zur didaktischen Norm erhoben wurde (z. B. Raumverhaltenskompetenz, Problemlösungskompetenz etc.) in einer neuen Bescheidenheit zu üben, was Bildungsziele betrifft: Ist es nicht schon eine bedeutende Leistung, wenn junge Menschen  imstande sind, festzustellen, daß es so, wie es ist, für viele nicht gut ist. Wäre es nicht wunderbar, könnte unser Fach einen Beitrag leisten, mittels reflexiver Horizonterweiterung der schleichenden Entsolidarisierung in unserer Gesellschaft zu begegnen?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Allerdings den SchülerInnen die Verpflichtung aufzuhalsen, gleichsam als Einlösung eines Lernziels nunmehr im Alleingang das „gute“, weil kritisch angeleitete Leben zu führen, ist als Bildungsanspruch schlicht unseriös.  Besser, weil  subjektbezogener, ist und bleibt die Aufforderung zur Selbstreflexion als ständige Begleiterin lebensrelevanter Entscheidungen und Handlungen. Gestärkt durch im Unterricht möglich gemachte Erfahrungen, daß auch im persönlichen, lebensweltlichen Umfeld Chancen bestehen, aufzuhalten, umzukehren und einer Vernunft zum Durchbruch zu verhelfen, mittels der  selbst einer derzeit bereits sichtbaren Überforderung durch rsikante Hochtechnologien (Genmanipulationen, Atommeiler, schnelle Brüter, Hochleistungstrassierungen etc.) und Globalisierungs-strategien begegnet werden kann, wäre das </w:t>
      </w:r>
      <w:r w:rsidRPr="00CE1C13">
        <w:rPr>
          <w:rFonts w:ascii="Arial" w:eastAsia="Times New Roman" w:hAnsi="Arial" w:cs="Arial"/>
          <w:sz w:val="24"/>
          <w:szCs w:val="24"/>
          <w:lang w:eastAsia="de-AT"/>
        </w:rPr>
        <w:t>eine konstruktive Variante im unterrichtlichen Umgang mit Naturbeherrschungs-, Unterdrückungs-, Konflikt-, Problem- und sonstigen-szenarien.</w:t>
      </w:r>
      <w:r w:rsidRPr="00CE1C13">
        <w:rPr>
          <w:rFonts w:ascii="Arial" w:eastAsia="Times New Roman" w:hAnsi="Arial" w:cs="Times New Roman"/>
          <w:sz w:val="24"/>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hyperlink r:id="rId9" w:anchor="Ver" w:history="1">
        <w:r w:rsidRPr="00CE1C13">
          <w:rPr>
            <w:rFonts w:ascii="Arial" w:eastAsia="Times New Roman" w:hAnsi="Arial" w:cs="Arial"/>
            <w:color w:val="0000FF"/>
            <w:sz w:val="15"/>
            <w:szCs w:val="15"/>
            <w:u w:val="single"/>
            <w:lang w:eastAsia="de-AT"/>
          </w:rPr>
          <w:t>zum Anfang</w:t>
        </w:r>
      </w:hyperlink>
      <w:r w:rsidRPr="00CE1C13">
        <w:rPr>
          <w:rFonts w:ascii="Arial" w:eastAsia="Times New Roman" w:hAnsi="Arial" w:cs="Times New Roman"/>
          <w:sz w:val="24"/>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4"/>
          <w:lang w:eastAsia="de-AT"/>
        </w:rPr>
        <w:t> </w:t>
      </w:r>
      <w:r w:rsidRPr="00CE1C13">
        <w:rPr>
          <w:rFonts w:ascii="Arial" w:eastAsia="Times New Roman" w:hAnsi="Arial" w:cs="Times New Roman"/>
          <w:b/>
          <w:sz w:val="28"/>
          <w:szCs w:val="20"/>
          <w:lang w:eastAsia="de-AT"/>
        </w:rPr>
        <w:t>5) Die Projektion einer Idee in den schulgeographischen Alltag</w:t>
      </w:r>
      <w:r w:rsidRPr="00CE1C13">
        <w:rPr>
          <w:rFonts w:ascii="Arial" w:eastAsia="Times New Roman" w:hAnsi="Arial" w:cs="Times New Roman"/>
          <w:sz w:val="28"/>
          <w:szCs w:val="20"/>
          <w:lang w:eastAsia="de-AT"/>
        </w:rPr>
        <w:t xml:space="preserv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8"/>
          <w:szCs w:val="20"/>
          <w:lang w:eastAsia="de-AT"/>
        </w:rPr>
        <w:t> </w:t>
      </w:r>
      <w:r w:rsidRPr="00CE1C13">
        <w:rPr>
          <w:rFonts w:ascii="Arial" w:eastAsia="Times New Roman" w:hAnsi="Arial" w:cs="Times New Roman"/>
          <w:sz w:val="24"/>
          <w:szCs w:val="20"/>
          <w:lang w:eastAsia="de-AT"/>
        </w:rPr>
        <w:t xml:space="preserve">Lassen sie mich in diesem Abschnitt  einen Lernprozess entwerfen, dessen Phasen sich durch Unterschiede hinsichtlich des vermittlungsleitenden Interesses auszeichnen. Wie bereits im Kapitel 4 deutlich gemacht wurde, läßt sich in Bezug auf die jeweiligen Fragestellungen eine starke Abhängigkeit des Komplexitätsgrades vom vermittlungsleitenden Interesse feststellen. Um eine Lernorganisation aufzubauen, die vom Einfachen zum Komplexen verläuft, wird im Rahmen der Problemannäherung eine Sequenz vorgeschlagen, die durch die unterschiedlichen vermittlungsleitenden Interessensdimensionen gekennzeichnet ist. Die einzelnen Schritte verlaufen vom unreflektiertem Vermittlungsinteresse über das technische und praktische hin zum </w:t>
      </w:r>
      <w:r w:rsidRPr="00CE1C13">
        <w:rPr>
          <w:rFonts w:ascii="Arial" w:eastAsia="Times New Roman" w:hAnsi="Arial" w:cs="Times New Roman"/>
          <w:sz w:val="24"/>
          <w:szCs w:val="20"/>
          <w:lang w:eastAsia="de-AT"/>
        </w:rPr>
        <w:lastRenderedPageBreak/>
        <w:t xml:space="preserve">kritisch emanzipatorischen, wobei letzteres zum Impulsgeber eines weiterführenden zirkulären Lernprozesses werden kann. Es gibt im Verlauf dieser Lernsequenz keine fertigen Lösungen und die Dauer des Lernprozesses wird von den TrägerInnen bestimmt.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Dieses vorgestellte Kontinuum, dessen Qualität von einem mehrperspektivischen vermittlungsleitenden Interesse bestimmt wird, birgt einen entscheidenden Vorteil: Schüler begreifen im Rahmen selbsttätigen Lernens rasch die Begrenztheit ihres Wissens und stoßen vor in eine Dimension, in der kein x-beliebiges Wissen gefragt ist, sondern zielgerichtetes Wissen, um anstehende Fragen, die im Lernprozeß auftreten, beantworten zu können. Neben der Frage, was dieses neue Wissen für den einzelnen bedeutet, geht es auch um praktische Einsichten: Wie kann ich mir Wissen beschaffen und welche Interessengruppen stellen welches Wissen zur Verfügung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Dabei sollen Schüler entdecken, daß und wie sie in relevanten Fragen des Lebens involviert sind, um in einer zunehmend unübersichtlichen Welt selbstbewußt aber auch selbstbestimmend und begründet Position beziehen zu können. Unser Fach Geographie gibt uns dazu die Möglichkeit, wenn der Unterricht didaktisch so organisiert wird, daß er durch eine Mischung aus Ordnung und Chaos strukturiert wird. Ein Unterricht, in dem es keine Überraschungen gibt, gerät rasch in Gefahr zu erstarren und damit in Bezug auf seine zukunftsorientierte Bildungsaufgabe dysfunktional zu werden.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 An einem Beispiel (Abb. 4) soll gezeigt werden, wie ein möglicher Lernprozeß verlaufen könnte, in dem ganz bewußt die ausdifferenzierten vermittlungsleitenden Kategorien die einzelnen Etappen des Unterrichts strukturieren.  Das Phänomen Freizeitwohnen hat sich in unserer Gesellschaft als vielfach problematisch erwiesen. Als Schlüsselwörter der Problemhaftigkeit gelten: Flächenverbrauch, Kolonisation, Segregation, Suburbanisierung, u.v.a.m. - jedenfalls Grund genug, um im Rahmen eines gegenwartsorientierten Unterrichts dem Phänomen Freizeitwohnen auf den Grund zu gehen. Ausgangspunkt der thematischen Erschließung könnte  der traditionelle Lehrerzugriff sein: Die SchülerInnen werden, wie man so schön sagt, mit der Materie vertraut gemacht. Was ist Freizeitwohnen? Was sind Freizeitwohnsitze? Welche Typen von Wohnsitzen gibt es? Wie sieht es mit der Verteilung aus? Welche Standortpräferenzen sind erkennbar? Welche Distanzen werden zurückgelegt etc. etc. Der Einstieg des/der Lehrenden kann durchaus im Rahmen der üblichen Mischung aus verfügbarem Stoffwissen,  zugänglichem Datenmaterial und persönlichen Erfahrungen sein, wobei nach der Phase der unterrichtlichen Selbstinszenierung übergeleitet werden kann zu Aufgabenstellungen, die aufzeigen sollen, welchen zweckrationalen Abhängigkeiten Freizeitwohnen vordergründig unterliegt: z. B. Wenn ein Freizeitwohnsitzwunsch realisiert wird, </w:t>
      </w:r>
      <w:r w:rsidRPr="00CE1C13">
        <w:rPr>
          <w:rFonts w:ascii="Arial" w:eastAsia="Times New Roman" w:hAnsi="Arial" w:cs="Times New Roman"/>
          <w:sz w:val="24"/>
          <w:szCs w:val="20"/>
          <w:lang w:eastAsia="de-AT"/>
        </w:rPr>
        <w:lastRenderedPageBreak/>
        <w:t xml:space="preserve">dann herrscht die Erwartung, daß ein spezifischer Standortnutzen auftritt. Ein Freizeitwohnsitz ist gebunden an die Verfügbarkeit über ein Individualverkehrsmittel. Ein Freizeitwohnsitz wird erst erworben, wenn die Ansprüche an den Hauptwohnsitz realisiert wurden. Wenn die Freizeitwohnsitzbevölkerung über ein bestimmtes Maß hinaus zuinimmt, dann mehren sich die Konflikte mit der ortsansässigen Bevölkerung. Wenn die Nachfrage nach Freizeitwohnsitzen steigt, dann steigen auch die Grundstückspreise.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xml:space="preserve">Die SchülerInnen könnten einen ganzen Katalog möglicher Abhängigkeiten erstellen, ausgehend von den Informationen des Lehrers/der Lehrerin, aber auch auf der Grundlage persönlicher Erfahrungen und Vorstellungen und könnten sich so in Reflexionen von Ursache-Wirkungszusammenhängen üben. Der Schritt in jene Lernphase, in der das praktische Vermittlungsinteresse zum Tragen kommt ist ein aufbauender und konsequenter. Aus dem Katalog der „Wenn- Dann“ Kausalitäten könnten jene ausgewiesen werden, die auch im Rahmen lebensweltlicher Erfahrungen von SchülerInnen als zutreffend erkannt werden, bzw. es könnten auch die nicht zutreffenden diskutiert und einer subjektiven Erklärung zugeführt werden. Konkret in die nächste Etappe wird dann eingestiegen, wenn persönliche Befindlichkeiten und Betroffenheiten zum Gegenstand der Auseindersetzung gemacht werden. Dabei sollten die Beteiligten die Gelegenheit erhalten intensiv und grundsätzlich  Fragestellungen zu thematisieren, die ihnen bedeutsam erscheinen. Welchen sozialen Stellenwert habe ich persönlich in einer Umgebung in der ich mich nur fallweise aufhalte? Wie geht es mir im Gespräch mit lokalen Jugendlichen? Welche Defizite verspüren sie, welche Vor- bzw Nachteile kann ich konstatieren. Wo verspüre ich Überlegenheit, wo Unterlegenheit. Ist der Freizeitwohnraum auch mir „Heimatraum“ und wenn, wodurch wird mir das vermittelt. Fühle ich mich sozial integriert und wenn ja, wodurch zeigt sich das? Was machen eigentlich jene KlassenkameradInnen, die über keinen Freizeitwohnsitz verfügen? Wie organisieren sie ihre Freizeit. Will ich überhaupt die Wochende, die Ferien außerhalb der Stadt verbringen und wenn ich es nicht möchte, wieso sehen das meine Eltern als Erfüllung ihres Lebenstraumes?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4"/>
          <w:szCs w:val="20"/>
          <w:lang w:eastAsia="de-AT"/>
        </w:rPr>
        <w:t> Nicht alle diese Fragen sollen auf einmal und unstrukturiert behandelt werden. Es geht vielmehr darum, von einer bestimmten Problemstellung auszugehen und ein wichtiges Segment persönlicher Betroffenheit diskutierbar zu machen, das im Verlauf eines normalen Unterrichts höchstens die Funktion einer Wortspende im Rahmen der üblichen Mitarbeitsleistung zuerkannt erhalten hätte. Das aufklärerische Moment erfährt das</w:t>
      </w:r>
      <w:r w:rsidRPr="00CE1C13">
        <w:rPr>
          <w:rFonts w:ascii="Arial" w:eastAsia="Times New Roman" w:hAnsi="Arial" w:cs="Arial"/>
          <w:sz w:val="24"/>
          <w:szCs w:val="24"/>
          <w:lang w:eastAsia="de-AT"/>
        </w:rPr>
        <w:t xml:space="preserve">Lernkontinuum, wenn es von der Reflexion der subjektiven Betroffenheiten (z.B. Ich muß mit meinen Eltern immer in unser Zweithaus mitfahren, obwohl ich viel lieber in der Stadt bleiben würde) den Hintergründen gesellschaftlich produzierter Widersprüche auf die Spur kommt (Wieso redet jeder von Landflucht, wenn wir doch jedes Wochende Stadtflucht betreiben?) </w:t>
      </w:r>
      <w:r w:rsidRPr="00CE1C13">
        <w:rPr>
          <w:rFonts w:ascii="Arial" w:eastAsia="Times New Roman" w:hAnsi="Arial" w:cs="Arial"/>
          <w:sz w:val="24"/>
          <w:szCs w:val="24"/>
          <w:lang w:eastAsia="de-AT"/>
        </w:rPr>
        <w:lastRenderedPageBreak/>
        <w:t>Möglicherweise wird das dialektische Spannungsfeld Arbeit-Freizeit erkennbar und der Diskurs in der Klasse zeigt auf, daß der Freizeitwohnsitz möglicherweise nicht nur Attraktion ist, sondern Fluchtburg; daß die räumliche Parzellierung unserer Gesellschaft die Antwort auf die Zwänge und Deprivationen des Alltags ist (Mein Vater sagt, er braucht das, sonst würde er noch völlig verrückt werden!).</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4"/>
          <w:szCs w:val="24"/>
          <w:lang w:eastAsia="de-AT"/>
        </w:rPr>
        <w:t xml:space="preserve">In diesem </w:t>
      </w:r>
      <w:r w:rsidRPr="00CE1C13">
        <w:rPr>
          <w:rFonts w:ascii="Arial" w:eastAsia="Times New Roman" w:hAnsi="Arial" w:cs="Times New Roman"/>
          <w:sz w:val="24"/>
          <w:szCs w:val="20"/>
          <w:lang w:eastAsia="de-AT"/>
        </w:rPr>
        <w:t>„</w:t>
      </w:r>
      <w:r w:rsidRPr="00CE1C13">
        <w:rPr>
          <w:rFonts w:ascii="Arial" w:eastAsia="Times New Roman" w:hAnsi="Arial" w:cs="Arial"/>
          <w:sz w:val="24"/>
          <w:szCs w:val="24"/>
          <w:lang w:eastAsia="de-AT"/>
        </w:rPr>
        <w:t xml:space="preserve">emanzipatorischen Abschnitt“ des Kontinuums, in dem auch hinter die Kulissen gesellschaftlicher Entwicklungen und daraus resultierender Konsequenzen geschaut werden soll, ist damit zu rechnen, daß die SchülerInnen sehr rasch an das Ende ihres Wissens gelangen. Diese Einsicht kann den Lernprozeß aber neuerlich konstruktiv aktivieren und zwar dann, wenn die SchülerInnen dazu übergehen, bewußt Wissen aufzuspüren, daß ihnen bei der Beantwortung ihrer Fragen behilflich ist. Der Lehrer hat in dieser Phase keineswegs die Funktion des Allwissenden auszuspielen, sehr wohl kann er aber Hinweise geben, wo das notwendige Wissen </w:t>
      </w:r>
      <w:r w:rsidRPr="00CE1C13">
        <w:rPr>
          <w:rFonts w:ascii="Arial" w:eastAsia="Times New Roman" w:hAnsi="Arial" w:cs="Times New Roman"/>
          <w:sz w:val="24"/>
          <w:szCs w:val="20"/>
          <w:lang w:eastAsia="de-AT"/>
        </w:rPr>
        <w:t>„</w:t>
      </w:r>
      <w:r w:rsidRPr="00CE1C13">
        <w:rPr>
          <w:rFonts w:ascii="Arial" w:eastAsia="Times New Roman" w:hAnsi="Arial" w:cs="Arial"/>
          <w:sz w:val="24"/>
          <w:szCs w:val="24"/>
          <w:lang w:eastAsia="de-AT"/>
        </w:rPr>
        <w:t>abgeholt“ werden kann. Dadurch kann eine Lernprozeßrotation ausgelöst werden, die solange  andauern kann, solange die Beteiligten diesen Unterricht mit seinen unterschiedlichen Interessenbezügen in den einzelnen Phasen als positiv ansehen und eine konstruktive Auseinandersetzung mit dem Problemfeld gegeben erscheint.</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4"/>
          <w:szCs w:val="24"/>
          <w:lang w:eastAsia="de-AT"/>
        </w:rPr>
        <w:t>Was hier am Beispiel des Freizeitwohnens angedeutet wurde ist für jede Fragestellung anwendbar. Die Steuerung des Unterrichts durch das vermittlungsleitende  Interesse sichert jedenfalls a priori ein merhperspektivisches Vorgehen und verhindert durch die immanenten subjektiven Partizipationsmöglichkeiten die Vernachlässigung des Prinzops der SchülerInnenorientierung.</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4"/>
          <w:szCs w:val="24"/>
          <w:lang w:eastAsia="de-AT"/>
        </w:rPr>
        <w:t>Eine interessante Variante des kritisch-emanzipatorischen Ansatzes, bei der die Differenzierung des Lernprozesses durch die Änderung des Blickwinkels auf unterschiedliche funktionale Wirkungsebenen erzielt wird, hat Borstorf entwickelt. Allerdings ist darauf zu verweisen, daß sein Vorschlag (Abb. 5) gleichsam normativ vorgibt, was als gut oder schlecht im Rahmen einer bestimmten Einflußnahme des Fremdenverkehrs  zu werten ist und gerade die emanzipatorische Vorgangsweise davon ausgeht, diese Urteilsfindung den Lernenden zu überlassen. Es wäre nämlich als Ergebnis des gezeigten Beispiels durchaus vorstellbar, daß unterschiedliche Einschätzungen zu ein und demselben Problem nebeneinander existieren. Z.B.: Tourismus zerstört die Umwelt - Tourismus verändert die Umwelt und wertet sie auf und daher a priori vorgegebene Wertungen als unzulässige Vorwegnahme eines Arbeitsergebnisses angesehen werden könnten.</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4"/>
          <w:szCs w:val="24"/>
          <w:lang w:eastAsia="de-AT"/>
        </w:rPr>
        <w:t> </w:t>
      </w:r>
      <w:r w:rsidRPr="00CE1C13">
        <w:rPr>
          <w:rFonts w:ascii="Arial" w:eastAsia="Times New Roman" w:hAnsi="Arial" w:cs="Arial"/>
          <w:b/>
          <w:sz w:val="24"/>
          <w:szCs w:val="24"/>
          <w:lang w:eastAsia="de-AT"/>
        </w:rPr>
        <w:t xml:space="preserve">6) Ausblick </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b/>
          <w:sz w:val="24"/>
          <w:szCs w:val="24"/>
          <w:lang w:eastAsia="de-AT"/>
        </w:rPr>
        <w:lastRenderedPageBreak/>
        <w:t> </w:t>
      </w:r>
      <w:r w:rsidRPr="00CE1C13">
        <w:rPr>
          <w:rFonts w:ascii="Arial" w:eastAsia="Times New Roman" w:hAnsi="Arial" w:cs="Arial"/>
          <w:sz w:val="24"/>
          <w:szCs w:val="24"/>
          <w:lang w:eastAsia="de-AT"/>
        </w:rPr>
        <w:t xml:space="preserve">Sich über seine persönlichen Interessen klar zu werden, sollte eine lebensbegleitende Philosophie jedes einzelnen sein. Was den Schulunterricht betrifft, so ist die Klarlegung der spezifischen Interessen, die im Rahmen der Vermittlung von Unterrichtsinhalten verfolgt werden, auch eine Frage der </w:t>
      </w:r>
      <w:r w:rsidRPr="00CE1C13">
        <w:rPr>
          <w:rFonts w:ascii="Arial" w:eastAsia="Times New Roman" w:hAnsi="Arial" w:cs="Times New Roman"/>
          <w:sz w:val="28"/>
          <w:szCs w:val="20"/>
          <w:lang w:eastAsia="de-AT"/>
        </w:rPr>
        <w:t>„</w:t>
      </w:r>
      <w:r w:rsidRPr="00CE1C13">
        <w:rPr>
          <w:rFonts w:ascii="Arial" w:eastAsia="Times New Roman" w:hAnsi="Arial" w:cs="Arial"/>
          <w:sz w:val="24"/>
          <w:szCs w:val="24"/>
          <w:lang w:eastAsia="de-AT"/>
        </w:rPr>
        <w:t>political correctness“.  Schulgeographische Inhalte, die exklusiv über den singulären Wahrheitsanspruch eines Lehrenden gekämmt werden und gleichsam als unveränderliche Norm weitergegeben werden, erfüllen nicht einmal den Mindeststandard jenes Anspruches an Politischer Bildung, der bereits vor zwanzig Jahren im gleichnamigen Erlaß verlautbart wurde. In einer Zeit in der Auflösungserscheinungen von tradierten Werten zur Alltagswahrnehmung zählt, scheint es umso wichtiger, die SchülerInnen zu qualifizieren, die gesellschaftlichen Konsequenzen erfolgter Wertesubstitutionen abschätzen zu können, um zumindest in Schlüsselfragen künftiger Entwicklung auf der Grundlage selbstreflexiven Vorgehens Position zu beziehen. Vermittlung und Interesse bleiben jedenfalls auch in einer sich beschleunigenden Zeit didaktische Kategorien der Bildung und Ausbildung, die gesellschaftlich bedeutsam bleiben werden.</w:t>
      </w:r>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hyperlink r:id="rId10" w:anchor="Ver" w:history="1">
        <w:r w:rsidRPr="00CE1C13">
          <w:rPr>
            <w:rFonts w:ascii="Arial" w:eastAsia="Times New Roman" w:hAnsi="Arial" w:cs="Arial"/>
            <w:color w:val="0000FF"/>
            <w:sz w:val="15"/>
            <w:szCs w:val="15"/>
            <w:u w:val="single"/>
            <w:lang w:eastAsia="de-AT"/>
          </w:rPr>
          <w:t>zum Anfang</w:t>
        </w:r>
      </w:hyperlink>
    </w:p>
    <w:p w:rsidR="00CE1C13" w:rsidRPr="00CE1C13" w:rsidRDefault="00CE1C13" w:rsidP="00CE1C13">
      <w:pPr>
        <w:spacing w:before="100" w:beforeAutospacing="1" w:after="100" w:afterAutospacing="1"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4"/>
          <w:szCs w:val="24"/>
          <w:lang w:eastAsia="de-AT"/>
        </w:rPr>
        <w:t> </w:t>
      </w:r>
      <w:r w:rsidRPr="00CE1C13">
        <w:rPr>
          <w:rFonts w:ascii="Arial" w:eastAsia="Times New Roman" w:hAnsi="Arial" w:cs="Arial"/>
          <w:b/>
          <w:bCs/>
          <w:sz w:val="24"/>
          <w:szCs w:val="24"/>
          <w:lang w:eastAsia="de-AT"/>
        </w:rPr>
        <w:t>Literatur</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0"/>
          <w:szCs w:val="20"/>
          <w:lang w:eastAsia="de-AT"/>
        </w:rPr>
        <w:t>Borstorf, A. (!996): Fremdenverkehr und Raumentwicklung. Beispiel eines kritisch emanzipatorischen Ansatzes. In: GW-Unterricht  64, S.</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0"/>
          <w:szCs w:val="20"/>
          <w:lang w:eastAsia="de-AT"/>
        </w:rPr>
        <w:t>Götz, K. (1995): Wirtschaftskunde - Bereich oder Bereicherung der Schulgeographie. Wien. (=Schriftenreihe der Wirtschaftskammer 78)</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0"/>
          <w:szCs w:val="20"/>
          <w:lang w:eastAsia="de-AT"/>
        </w:rPr>
        <w:t>Habermas, J. (1970): Erkenntnis und Interesse. Frankfurt am Main.</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0"/>
          <w:szCs w:val="20"/>
          <w:lang w:eastAsia="de-AT"/>
        </w:rPr>
        <w:t>Habermas, J. (1985): Theorie des kommunikativen Handelns, Bd. 1, Handlungsrationalität und gesellschaftliche Rationalisierung. Frankfurt am Main.</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0"/>
          <w:szCs w:val="20"/>
          <w:lang w:eastAsia="de-AT"/>
        </w:rPr>
        <w:t>Hierdeis, H. und Hug, T., Hrsg. (1996): Taschenbuch der Pädagogik, 4 Bände, Baltmannsweiler.</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0"/>
          <w:szCs w:val="20"/>
          <w:lang w:eastAsia="de-AT"/>
        </w:rPr>
        <w:t>Meyer, H. (1989): Unterrichtsmethoden, 2 Bde., Frankfurt am Main.</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Arial"/>
          <w:sz w:val="20"/>
          <w:szCs w:val="20"/>
          <w:lang w:eastAsia="de-AT"/>
        </w:rPr>
        <w:t>Salzberger-Wittenberg, I., Henry-Williams, G. und Osborne, E.(1997): Die Pädagogik der Gefühle. Wien.</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0"/>
          <w:szCs w:val="20"/>
          <w:lang w:eastAsia="de-AT"/>
        </w:rPr>
        <w:t xml:space="preserve">Schmidt-Wulffen, W. (1998): Schüler- und Alltagsweltorientierung im Erdkundeunterricht. Zugänge - Perspektiven für die Praxis-Beispiele aus dem Unterricht. unveröffentl. Manuskript. Hannover. </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0"/>
          <w:szCs w:val="20"/>
          <w:lang w:eastAsia="de-AT"/>
        </w:rPr>
        <w:t xml:space="preserve">Schütz, A. und Luckmann, Th. (1979): Strukturen der Lebenswelt. Frankfurt am Main. </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0"/>
          <w:szCs w:val="20"/>
          <w:lang w:eastAsia="de-AT"/>
        </w:rPr>
        <w:t xml:space="preserve">Weichert, P. (1992):Vom „Räumeln“ in der Geographie und anderen Disziplinen. In: Mayer, J., (Hrsg): Die aufgeräumte Welt - Raumbilder und Raumkonzepte im Zeitalter globaler Marktwirtschaft (=Loccumer Protokolle 74) </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0"/>
          <w:szCs w:val="20"/>
          <w:lang w:eastAsia="de-AT"/>
        </w:rPr>
        <w:t>Werlen, B. (1995): Sozialgeographie alltäglicher Regionalisierungen. Zur Ontologie von Gesellschaft und Raum. Stuttgart.</w:t>
      </w:r>
      <w:r w:rsidRPr="00CE1C13">
        <w:rPr>
          <w:rFonts w:ascii="Arial" w:eastAsia="Times New Roman" w:hAnsi="Arial" w:cs="Times New Roman"/>
          <w:sz w:val="28"/>
          <w:szCs w:val="20"/>
          <w:lang w:eastAsia="de-AT"/>
        </w:rPr>
        <w:t xml:space="preserve"> </w:t>
      </w:r>
    </w:p>
    <w:p w:rsidR="00CE1C13" w:rsidRPr="00CE1C13" w:rsidRDefault="00CE1C13" w:rsidP="00CE1C13">
      <w:pPr>
        <w:spacing w:before="45" w:after="45" w:line="240" w:lineRule="auto"/>
        <w:ind w:left="300" w:right="1500"/>
        <w:rPr>
          <w:rFonts w:ascii="Times New Roman" w:eastAsia="Times New Roman" w:hAnsi="Times New Roman" w:cs="Times New Roman"/>
          <w:sz w:val="24"/>
          <w:szCs w:val="24"/>
          <w:lang w:eastAsia="de-AT"/>
        </w:rPr>
      </w:pPr>
      <w:r w:rsidRPr="00CE1C13">
        <w:rPr>
          <w:rFonts w:ascii="Arial" w:eastAsia="Times New Roman" w:hAnsi="Arial" w:cs="Times New Roman"/>
          <w:sz w:val="28"/>
          <w:szCs w:val="20"/>
          <w:lang w:eastAsia="de-AT"/>
        </w:rPr>
        <w:t xml:space="preserve">. </w:t>
      </w:r>
    </w:p>
    <w:p w:rsidR="00CE1C13" w:rsidRPr="00CE1C13" w:rsidRDefault="00CE1C13" w:rsidP="00CE1C13">
      <w:pPr>
        <w:spacing w:before="15" w:after="15" w:line="240" w:lineRule="auto"/>
        <w:ind w:left="300" w:right="1500"/>
        <w:rPr>
          <w:rFonts w:ascii="Times New Roman" w:eastAsia="Times New Roman" w:hAnsi="Times New Roman" w:cs="Times New Roman"/>
          <w:sz w:val="24"/>
          <w:szCs w:val="24"/>
          <w:lang w:eastAsia="de-AT"/>
        </w:rPr>
      </w:pPr>
      <w:hyperlink r:id="rId11" w:tgtFrame="_blank" w:history="1">
        <w:r w:rsidRPr="00CE1C13">
          <w:rPr>
            <w:rFonts w:ascii="Arial" w:eastAsia="Times New Roman" w:hAnsi="Arial" w:cs="Times New Roman"/>
            <w:color w:val="0000FF"/>
            <w:sz w:val="20"/>
            <w:szCs w:val="20"/>
            <w:u w:val="single"/>
            <w:lang w:eastAsia="de-AT"/>
          </w:rPr>
          <w:t>Diese Seite ist Teil der virtuellen Fachdidaktikergänzungen am Institut für Geographie der Universität Wien</w:t>
        </w:r>
      </w:hyperlink>
    </w:p>
    <w:p w:rsidR="00CE1C13" w:rsidRPr="00CE1C13" w:rsidRDefault="00CE1C13" w:rsidP="00CE1C13">
      <w:pPr>
        <w:spacing w:before="15" w:after="15" w:line="240" w:lineRule="auto"/>
        <w:ind w:left="300" w:right="1500"/>
        <w:rPr>
          <w:rFonts w:ascii="Times New Roman" w:eastAsia="Times New Roman" w:hAnsi="Times New Roman" w:cs="Times New Roman"/>
          <w:sz w:val="24"/>
          <w:szCs w:val="24"/>
          <w:lang w:eastAsia="de-AT"/>
        </w:rPr>
      </w:pPr>
      <w:hyperlink r:id="rId12" w:tgtFrame="_blank" w:history="1">
        <w:r w:rsidRPr="00CE1C13">
          <w:rPr>
            <w:rFonts w:ascii="Arial" w:eastAsia="Times New Roman" w:hAnsi="Arial" w:cs="Times New Roman"/>
            <w:color w:val="0000FF"/>
            <w:sz w:val="20"/>
            <w:szCs w:val="20"/>
            <w:u w:val="single"/>
            <w:lang w:eastAsia="de-AT"/>
          </w:rPr>
          <w:t>Internetumsetzung Ch.S. 2002</w:t>
        </w:r>
      </w:hyperlink>
    </w:p>
    <w:p w:rsidR="003F305A" w:rsidRDefault="00CE1C13">
      <w:bookmarkStart w:id="1" w:name="_GoBack"/>
      <w:bookmarkEnd w:id="1"/>
    </w:p>
    <w:sectPr w:rsidR="003F30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13"/>
    <w:rsid w:val="004F222B"/>
    <w:rsid w:val="006E1FCA"/>
    <w:rsid w:val="0076449E"/>
    <w:rsid w:val="00A9129A"/>
    <w:rsid w:val="00C96297"/>
    <w:rsid w:val="00CE1C13"/>
    <w:rsid w:val="00DC38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A66E4-1552-4566-823E-D9C736D1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page.univie.ac.at/christian.sitte/FD/artikel/vielhabervermittlung&amp;interess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mepage.univie.ac.at/christian.sitte/FD/artikel/vielhabervermittlung&amp;interesse.htm" TargetMode="External"/><Relationship Id="rId12" Type="http://schemas.openxmlformats.org/officeDocument/2006/relationships/hyperlink" Target="NU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page.univie.ac.at/christian.sitte/FD/artikel/vielhabervermittlung&amp;interesse.htm" TargetMode="External"/><Relationship Id="rId11" Type="http://schemas.openxmlformats.org/officeDocument/2006/relationships/hyperlink" Target="http://mailbox.univie.ac.at/Christian.Sitte/FD/" TargetMode="External"/><Relationship Id="rId5" Type="http://schemas.openxmlformats.org/officeDocument/2006/relationships/hyperlink" Target="http://www.univie.ac.at/geographie/" TargetMode="External"/><Relationship Id="rId10" Type="http://schemas.openxmlformats.org/officeDocument/2006/relationships/hyperlink" Target="https://homepage.univie.ac.at/christian.sitte/FD/artikel/vielhabervermittlung&amp;interesse.htm" TargetMode="External"/><Relationship Id="rId4" Type="http://schemas.openxmlformats.org/officeDocument/2006/relationships/hyperlink" Target="http://www.univie.ac.at/geographie/" TargetMode="External"/><Relationship Id="rId9" Type="http://schemas.openxmlformats.org/officeDocument/2006/relationships/hyperlink" Target="https://homepage.univie.ac.at/christian.sitte/FD/artikel/vielhabervermittlung&amp;interesse.ht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6420</Words>
  <Characters>40449</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Reinhild Hebein</dc:creator>
  <cp:keywords/>
  <dc:description/>
  <cp:lastModifiedBy>Reinhild Hebein</cp:lastModifiedBy>
  <cp:revision>1</cp:revision>
  <dcterms:created xsi:type="dcterms:W3CDTF">2019-03-05T14:37:00Z</dcterms:created>
  <dcterms:modified xsi:type="dcterms:W3CDTF">2019-03-05T14:38:00Z</dcterms:modified>
</cp:coreProperties>
</file>