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1A" w:rsidRPr="00823982" w:rsidRDefault="0025012F" w:rsidP="003F7ECD">
      <w:pPr>
        <w:pStyle w:val="Autorenname"/>
      </w:pPr>
      <w:r>
        <w:t>Romana Kreuzeder</w:t>
      </w:r>
    </w:p>
    <w:p w:rsidR="008507F0" w:rsidRDefault="0025012F" w:rsidP="0041304A">
      <w:pPr>
        <w:pStyle w:val="Beitragstitel"/>
      </w:pPr>
      <w:r>
        <w:t>Konfrontation oder Konsens? – Die Rolle der Sozialpartner</w:t>
      </w:r>
      <w:r w:rsidR="00500911">
        <w:t xml:space="preserve"> in der österreichischen Politik</w:t>
      </w:r>
    </w:p>
    <w:p w:rsidR="00B22021" w:rsidRDefault="003F7ECD" w:rsidP="003F7ECD">
      <w:pPr>
        <w:pStyle w:val="SZusammenfassung"/>
      </w:pPr>
      <w:r>
        <w:t>Zusammenfassung</w:t>
      </w:r>
    </w:p>
    <w:p w:rsidR="005668A4" w:rsidRDefault="00CD524D" w:rsidP="00B22021">
      <w:r>
        <w:t xml:space="preserve">Welche didaktischen Ziele sollen mit der Durchführung dieser Unterrichtseinheit erreicht  werden? </w:t>
      </w:r>
      <w:r w:rsidR="00054EB6">
        <w:t>Das Thema „Sozialpartnerschaft“, welches im Zuge der geplanten Unterrichtsei</w:t>
      </w:r>
      <w:r w:rsidR="00054EB6">
        <w:t>n</w:t>
      </w:r>
      <w:r w:rsidR="00054EB6">
        <w:t>heit „Konfrontation oder Konsens? – Die Rolle der Sozialpartner in der österreichischen Politik“ erarbeitet wird, erfüllt nicht nur die für die 7. Schulstufe vom Lehrplan vorgeseh</w:t>
      </w:r>
      <w:r w:rsidR="00054EB6">
        <w:t>e</w:t>
      </w:r>
      <w:r w:rsidR="00054EB6">
        <w:t xml:space="preserve">nen Lernziele, sondern ist auch im Hinblick auf das spätere Berufsleben der Schülerinnen und Schüler </w:t>
      </w:r>
      <w:r>
        <w:t>von Relevanz.</w:t>
      </w:r>
      <w:r w:rsidR="00054EB6">
        <w:t xml:space="preserve"> Die Kenntnis der einzelnen Interessensvertreter und ihren Fun</w:t>
      </w:r>
      <w:r w:rsidR="00054EB6">
        <w:t>k</w:t>
      </w:r>
      <w:r w:rsidR="00054EB6">
        <w:t>tionen kann für die Schülerinnen und Schüler im Falle von auftretenden Konflikten zw</w:t>
      </w:r>
      <w:r w:rsidR="00054EB6">
        <w:t>i</w:t>
      </w:r>
      <w:r w:rsidR="00054EB6">
        <w:t>schen ihnen und ihrem zukünftigen Arbeitgeber von Vorteil sein.</w:t>
      </w:r>
      <w:r w:rsidR="001C1AC1">
        <w:t xml:space="preserve"> Somit wissen sie, an welche Institutionen sie sich bei Problemen wenden können. </w:t>
      </w:r>
      <w:r w:rsidR="005668A4">
        <w:br/>
      </w:r>
      <w:r>
        <w:t>Welche Lerninhalte sollen vermittelt werden?</w:t>
      </w:r>
      <w:r w:rsidR="001C1AC1">
        <w:t xml:space="preserve"> Neben der </w:t>
      </w:r>
      <w:r w:rsidR="00372E8D">
        <w:t xml:space="preserve">grundlegenden </w:t>
      </w:r>
      <w:r w:rsidR="001C1AC1">
        <w:t>Klärung des B</w:t>
      </w:r>
      <w:r w:rsidR="001C1AC1">
        <w:t>e</w:t>
      </w:r>
      <w:r w:rsidR="001C1AC1">
        <w:t>griffs „Sozialpartnerschaft“</w:t>
      </w:r>
      <w:r w:rsidR="00372E8D">
        <w:t xml:space="preserve"> sowie mit diesem in Verbindung stehenden Begriffen wie „P</w:t>
      </w:r>
      <w:r w:rsidR="00372E8D">
        <w:t>a</w:t>
      </w:r>
      <w:r w:rsidR="00372E8D">
        <w:t xml:space="preserve">ritätische Kommission“ oder „Beirat für Wirtschafts- und Sozialfragen“, werden die </w:t>
      </w:r>
      <w:r w:rsidR="001C1AC1">
        <w:t>einze</w:t>
      </w:r>
      <w:r w:rsidR="001C1AC1">
        <w:t>l</w:t>
      </w:r>
      <w:r w:rsidR="001C1AC1">
        <w:t>nen</w:t>
      </w:r>
      <w:r w:rsidR="00372E8D">
        <w:t xml:space="preserve"> </w:t>
      </w:r>
      <w:r w:rsidR="001C1AC1">
        <w:t>Interessensvertretungen</w:t>
      </w:r>
      <w:r w:rsidR="00372E8D">
        <w:t xml:space="preserve">, gesetzlich sowie freiwillig, </w:t>
      </w:r>
      <w:r w:rsidR="001C1AC1">
        <w:t xml:space="preserve"> mitsamt deren Aufgaben und Funktionen, sowohl auf Arbeitnehmer- als auch Arbeitgeberseite</w:t>
      </w:r>
      <w:r w:rsidR="00372E8D">
        <w:t xml:space="preserve"> behandelt. Darüber hinaus</w:t>
      </w:r>
      <w:r w:rsidR="001C1AC1">
        <w:t xml:space="preserve"> soll </w:t>
      </w:r>
      <w:r>
        <w:t>den Schülerinnen und Schülern auch die Bedeutung der Sozialpartner auf politische</w:t>
      </w:r>
      <w:r w:rsidR="00B41285">
        <w:t>r</w:t>
      </w:r>
      <w:r>
        <w:t xml:space="preserve"> Ebene im Hinblick auf deren Lobbying-Tätigkeit vor Augen geführt werden. Die Haupti</w:t>
      </w:r>
      <w:r>
        <w:t>n</w:t>
      </w:r>
      <w:r>
        <w:t>tention der geplanten Unterrichtseinheit soll sein, das</w:t>
      </w:r>
      <w:r w:rsidR="009A25FE">
        <w:t xml:space="preserve">s die Schülerinnen und Schüler ein Bewusstsein dafür erlangen, welchen Stellenwert die Sozialpartnerschaft für </w:t>
      </w:r>
      <w:r w:rsidR="00372E8D">
        <w:t>die</w:t>
      </w:r>
      <w:r w:rsidR="005668A4">
        <w:t xml:space="preserve"> Wirtschaft Österreichs hat, </w:t>
      </w:r>
      <w:r w:rsidR="00372E8D">
        <w:t xml:space="preserve">welche Rolle sie innerhalb der österreichischen Gesellschaft einnimmt und </w:t>
      </w:r>
      <w:r w:rsidR="005668A4">
        <w:t>welche Wirkung  somit ihre Präsenz für den österreichischen Staat hat</w:t>
      </w:r>
      <w:r w:rsidR="007E36D8">
        <w:t>.</w:t>
      </w:r>
      <w:r w:rsidR="005668A4">
        <w:br/>
        <w:t xml:space="preserve">Wie soll das Thema umgesetzt werden? </w:t>
      </w:r>
      <w:r w:rsidR="00255D73">
        <w:t>Als Einstieg in das Thema wurde eine Zeichnung gewählt. Diese soll den möglichen Widerspruch zwischen einem Arbeitnehmer und einem Arbeitgeber darstellen. Die Schülerinnen und Schüler sollen mit Hilfe von Impulsfragen (vg</w:t>
      </w:r>
      <w:r w:rsidR="007E36D8">
        <w:t>l. Unterrichtsressourcen- Anhang 1</w:t>
      </w:r>
      <w:r w:rsidR="00255D73">
        <w:t xml:space="preserve">) die Zeichnung im Plenum interpretieren und so auf das Thema hingeführt werden. </w:t>
      </w:r>
      <w:r w:rsidR="00157761">
        <w:t>Anschließend folgt eine Phase des Informationsinputs. D</w:t>
      </w:r>
      <w:r w:rsidR="00157761">
        <w:t>a</w:t>
      </w:r>
      <w:r w:rsidR="00157761">
        <w:t>bei werden die Schülerinne</w:t>
      </w:r>
      <w:r w:rsidR="0076244B">
        <w:t>n</w:t>
      </w:r>
      <w:r w:rsidR="00157761">
        <w:t xml:space="preserve"> und Schüler aufgefordert, ein Arbeitsblatt zum Thema „Soz</w:t>
      </w:r>
      <w:r w:rsidR="00157761">
        <w:t>i</w:t>
      </w:r>
      <w:r w:rsidR="00157761">
        <w:t>alpartnerschaft“ auszuarbeiten. Die benötigten Informationen können sie einer PowerPoint-Präsentation entnehm</w:t>
      </w:r>
      <w:r w:rsidR="00494C56">
        <w:t>en, welche während dieser Phase zweimal</w:t>
      </w:r>
      <w:r w:rsidR="00884125">
        <w:t xml:space="preserve"> </w:t>
      </w:r>
      <w:r w:rsidR="007E36D8">
        <w:t xml:space="preserve">am </w:t>
      </w:r>
      <w:proofErr w:type="spellStart"/>
      <w:r w:rsidR="007E36D8">
        <w:t>Beamer</w:t>
      </w:r>
      <w:proofErr w:type="spellEnd"/>
      <w:r w:rsidR="007E36D8">
        <w:t xml:space="preserve">  durchlaufen</w:t>
      </w:r>
      <w:r w:rsidR="00157761">
        <w:t xml:space="preserve"> wird. Dadurch wird gewährleistet, dass jede Schülerin und jeder Schüler selbstständig in ihrem/seinem Arbeitstempo das Arbeitsblatt vervollständigen kann.  Schafft sie/er es nicht beim ersten Durchlauf,  so besteht noch immer die Möglichkeit, die Information beim 2. Durchlauf richtig zu entnehmen. Schaffen es manche Schüler bereits nach dem 1. Durc</w:t>
      </w:r>
      <w:r w:rsidR="00157761">
        <w:t>h</w:t>
      </w:r>
      <w:r w:rsidR="00157761">
        <w:t xml:space="preserve">lauf, das Blatt </w:t>
      </w:r>
      <w:r w:rsidR="0076244B">
        <w:t>vollständig zu erarbeiten,</w:t>
      </w:r>
      <w:r w:rsidR="00157761">
        <w:t xml:space="preserve"> können sie den</w:t>
      </w:r>
      <w:r w:rsidR="0076244B">
        <w:t xml:space="preserve"> </w:t>
      </w:r>
      <w:r w:rsidR="00157761">
        <w:t xml:space="preserve"> 2. </w:t>
      </w:r>
      <w:r w:rsidR="0076244B">
        <w:t>Durch</w:t>
      </w:r>
      <w:r w:rsidR="00494C56">
        <w:t>gang zur Kontrolle</w:t>
      </w:r>
      <w:r w:rsidR="0076244B">
        <w:t xml:space="preserve"> nü</w:t>
      </w:r>
      <w:r w:rsidR="0076244B">
        <w:t>t</w:t>
      </w:r>
      <w:r w:rsidR="0076244B">
        <w:t xml:space="preserve">zen. </w:t>
      </w:r>
      <w:r w:rsidR="007B1552">
        <w:t>In der Präsentation werden Begriffe wie Sozialpartnerschaft, paritätische Kommission oder Beirat für Wirtschafts- und Sozialfragen erklärt, sowie die einzelnen Interessensvertr</w:t>
      </w:r>
      <w:r w:rsidR="007B1552">
        <w:t>e</w:t>
      </w:r>
      <w:r w:rsidR="007B1552">
        <w:t xml:space="preserve">tungen vorgestellt und deren Wirken innerhalb der österreichischen Wirtschaft, Politik und Gesellschaft angesprochen. </w:t>
      </w:r>
      <w:r w:rsidR="0076244B">
        <w:t>Die PowerPoint-Präsentation so</w:t>
      </w:r>
      <w:r w:rsidR="00126424">
        <w:t>ll dazu dienen, den  Schüleri</w:t>
      </w:r>
      <w:r w:rsidR="00126424">
        <w:t>n</w:t>
      </w:r>
      <w:r w:rsidR="00126424">
        <w:t>nen und Schülern theoretisches Wissen auf eine Art und Weise zu präsentieren, bei der sie selbst die wichtigsten Informationen herauszufiltern lernen.</w:t>
      </w:r>
      <w:r w:rsidR="00884125">
        <w:t xml:space="preserve"> Das ausgefüllte Arbeitsblatt </w:t>
      </w:r>
      <w:r w:rsidR="00884125">
        <w:lastRenderedPageBreak/>
        <w:t>kommt im Anschluss in das Arbeitsheft und dient in weiterer Folge als Lernunterlage.</w:t>
      </w:r>
      <w:r w:rsidR="00126424">
        <w:t xml:space="preserve"> Nach dem Informationsinput folgt </w:t>
      </w:r>
      <w:r w:rsidR="007B1552">
        <w:t>eine selbstständige Arbeitsphase. Dabei sollen die Schüleri</w:t>
      </w:r>
      <w:r w:rsidR="007B1552">
        <w:t>n</w:t>
      </w:r>
      <w:r w:rsidR="007B1552">
        <w:t>nen und Schüler in einem  Rollenspiel das in der vorhergehenden Phase angeeignete theor</w:t>
      </w:r>
      <w:r w:rsidR="007B1552">
        <w:t>e</w:t>
      </w:r>
      <w:r w:rsidR="007B1552">
        <w:t>tische Wissen in der Praxis anwenden. Zu Beginn des Rollenspiels wird die Klasse in zwei Gruppen geteilt, wobei die eine Gruppe die Arbeitnehmer und die zweite Gruppe die A</w:t>
      </w:r>
      <w:r w:rsidR="007B1552">
        <w:t>r</w:t>
      </w:r>
      <w:r w:rsidR="007B1552">
        <w:t>beitgeber repräsentiert. Die Gruppen bekommen nun die Aufgabe, nach einer kurzen Vo</w:t>
      </w:r>
      <w:r w:rsidR="007B1552">
        <w:t>r</w:t>
      </w:r>
      <w:r w:rsidR="007B1552">
        <w:t>bereitungsphase über eine Lohnerhöhung zu diskutieren. Die Arbeitnehmerseite möchte mehr Lohn bei gleich bleibendem Arbeitsaufwand und die Arbeitgeberseite fordert mehr Arbeitszeit bei unverändertem Lohn. Die beiden Parteien wählen jeweils drei Vertreter aus ihren Reihen, welche anschließend vor der Klasse diskutieren. Ziel des Rollenspiels ist es, eine für beide Parteien</w:t>
      </w:r>
      <w:r w:rsidR="00B16C94">
        <w:t xml:space="preserve"> akzeptable Einigung zu erreichen. Außerdem sollen einige Schül</w:t>
      </w:r>
      <w:r w:rsidR="00B16C94">
        <w:t>e</w:t>
      </w:r>
      <w:r w:rsidR="00B16C94">
        <w:t>rinnen und Schüler die Rolle der Presse übernehmen. Diese verfolgen die einzelnen Ve</w:t>
      </w:r>
      <w:r w:rsidR="00B16C94">
        <w:t>r</w:t>
      </w:r>
      <w:r w:rsidR="00B16C94">
        <w:t>handlungsschritte und verfassen kurze Darstellungen. Zum Abschluss wird der Diskuss</w:t>
      </w:r>
      <w:r w:rsidR="00B16C94">
        <w:t>i</w:t>
      </w:r>
      <w:r w:rsidR="00B16C94">
        <w:t>onsverlauf im Plenum noch einmal kurz zusammengefasst. Durch das Rollenspiel, welches das Thema abschließt, soll den Schülerinnen und Schülern vor Augen geführt werden, wie schwierig es sein kann, eine Einigung zu finden, welche für beide Parteien annehmbar ist und welchen Beitrag somit die Interessensvertretungen leisten, um in Österreich ein g</w:t>
      </w:r>
      <w:r w:rsidR="00B16C94">
        <w:t>e</w:t>
      </w:r>
      <w:r w:rsidR="00B16C94">
        <w:t xml:space="preserve">meinsames geordnetes Wirtschaften und friedliches Zusammenleben zu gewährleisten. </w:t>
      </w:r>
    </w:p>
    <w:p w:rsidR="00823982" w:rsidRPr="00823982" w:rsidRDefault="00823982" w:rsidP="0041304A">
      <w:pPr>
        <w:pStyle w:val="SZusammenfassung"/>
      </w:pPr>
      <w:r w:rsidRPr="00823982">
        <w:t>Unterrichtsskizze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5890"/>
      </w:tblGrid>
      <w:tr w:rsidR="008507F0" w:rsidTr="00A36099">
        <w:tc>
          <w:tcPr>
            <w:tcW w:w="1809" w:type="dxa"/>
          </w:tcPr>
          <w:p w:rsidR="008507F0" w:rsidRDefault="008507F0">
            <w:r>
              <w:t>Schulstufe</w:t>
            </w:r>
          </w:p>
        </w:tc>
        <w:tc>
          <w:tcPr>
            <w:tcW w:w="7403" w:type="dxa"/>
          </w:tcPr>
          <w:p w:rsidR="008507F0" w:rsidRDefault="00E11E64">
            <w:r>
              <w:t>7</w:t>
            </w:r>
            <w:r w:rsidR="0058020B">
              <w:t>. Schulstufe</w:t>
            </w:r>
          </w:p>
        </w:tc>
      </w:tr>
      <w:tr w:rsidR="008507F0" w:rsidTr="00A36099">
        <w:tc>
          <w:tcPr>
            <w:tcW w:w="1809" w:type="dxa"/>
          </w:tcPr>
          <w:p w:rsidR="008507F0" w:rsidRDefault="008507F0">
            <w:r>
              <w:t>Gegenstand</w:t>
            </w:r>
          </w:p>
        </w:tc>
        <w:tc>
          <w:tcPr>
            <w:tcW w:w="7403" w:type="dxa"/>
          </w:tcPr>
          <w:p w:rsidR="008507F0" w:rsidRDefault="0058020B">
            <w:r>
              <w:t>Geographie- und Wirtschaftskunde</w:t>
            </w:r>
          </w:p>
        </w:tc>
      </w:tr>
      <w:tr w:rsidR="008507F0" w:rsidTr="00A36099">
        <w:tc>
          <w:tcPr>
            <w:tcW w:w="1809" w:type="dxa"/>
          </w:tcPr>
          <w:p w:rsidR="008507F0" w:rsidRDefault="008507F0">
            <w:r>
              <w:t>Lehrplanbezug</w:t>
            </w:r>
          </w:p>
        </w:tc>
        <w:tc>
          <w:tcPr>
            <w:tcW w:w="7403" w:type="dxa"/>
          </w:tcPr>
          <w:p w:rsidR="008507F0" w:rsidRDefault="00E11E64" w:rsidP="00E11E64">
            <w:r>
              <w:t>Das Thema „Konfrontation oder Konsens – Die Rolle der Sozialpar</w:t>
            </w:r>
            <w:r>
              <w:t>t</w:t>
            </w:r>
            <w:r>
              <w:t>ner</w:t>
            </w:r>
            <w:r w:rsidR="004D11A1">
              <w:t xml:space="preserve"> im österreichischen Staat</w:t>
            </w:r>
            <w:r>
              <w:t>“ fällt in den Bereich „Einblicke in die Arbeitswelt</w:t>
            </w:r>
            <w:r w:rsidR="00877311">
              <w:t>“</w:t>
            </w:r>
            <w:r>
              <w:t xml:space="preserve">, welches der Lehrplan für die 7. Schulstufe vorsieht. Insbesondere wird dabei das </w:t>
            </w:r>
            <w:r w:rsidR="004D11A1">
              <w:t xml:space="preserve">nachstehend </w:t>
            </w:r>
            <w:r>
              <w:t>vorgehobene Ziel angespr</w:t>
            </w:r>
            <w:r>
              <w:t>o</w:t>
            </w:r>
            <w:r>
              <w:t xml:space="preserve">chen. </w:t>
            </w:r>
          </w:p>
          <w:p w:rsidR="00E11E64" w:rsidRPr="00E11E64" w:rsidRDefault="00E11E64" w:rsidP="00E11E64">
            <w:pPr>
              <w:overflowPunct/>
              <w:spacing w:after="0"/>
              <w:jc w:val="left"/>
              <w:textAlignment w:val="auto"/>
              <w:rPr>
                <w:rFonts w:eastAsiaTheme="minorEastAsia"/>
                <w:b/>
                <w:bCs/>
                <w:lang w:eastAsia="de-AT"/>
              </w:rPr>
            </w:pPr>
            <w:r w:rsidRPr="00E11E64">
              <w:rPr>
                <w:rFonts w:eastAsiaTheme="minorEastAsia"/>
                <w:b/>
                <w:bCs/>
                <w:lang w:eastAsia="de-AT"/>
              </w:rPr>
              <w:t>Einblicke in die Arbeitswelt:</w:t>
            </w:r>
          </w:p>
          <w:p w:rsidR="00E11E64" w:rsidRPr="00E11E64" w:rsidRDefault="00E11E64" w:rsidP="00E11E64">
            <w:pPr>
              <w:overflowPunct/>
              <w:spacing w:after="0"/>
              <w:jc w:val="left"/>
              <w:textAlignment w:val="auto"/>
              <w:rPr>
                <w:rFonts w:eastAsiaTheme="minorEastAsia"/>
                <w:lang w:eastAsia="de-AT"/>
              </w:rPr>
            </w:pPr>
            <w:r w:rsidRPr="00E11E64">
              <w:rPr>
                <w:rFonts w:eastAsiaTheme="minorEastAsia"/>
                <w:lang w:eastAsia="de-AT"/>
              </w:rPr>
              <w:t>Die Bedeutung der Berufswahl für die Lebensgestaltung erkennen und erste Wege der Berufsfindung nutzen.</w:t>
            </w:r>
          </w:p>
          <w:p w:rsidR="00E11E64" w:rsidRPr="00E11E64" w:rsidRDefault="00E11E64" w:rsidP="00E11E64">
            <w:pPr>
              <w:overflowPunct/>
              <w:spacing w:after="0"/>
              <w:jc w:val="left"/>
              <w:textAlignment w:val="auto"/>
              <w:rPr>
                <w:rFonts w:eastAsiaTheme="minorEastAsia"/>
                <w:lang w:eastAsia="de-AT"/>
              </w:rPr>
            </w:pPr>
            <w:r w:rsidRPr="00E11E64">
              <w:rPr>
                <w:rFonts w:eastAsiaTheme="minorEastAsia"/>
                <w:lang w:eastAsia="de-AT"/>
              </w:rPr>
              <w:t>Den stetigen Wandel der Arbeitswelt erkennen und daraus die Einsicht in die Notwendigkeit der ständigen</w:t>
            </w:r>
            <w:r>
              <w:rPr>
                <w:rFonts w:eastAsiaTheme="minorEastAsia"/>
                <w:lang w:eastAsia="de-AT"/>
              </w:rPr>
              <w:t xml:space="preserve"> </w:t>
            </w:r>
            <w:r w:rsidRPr="00E11E64">
              <w:rPr>
                <w:rFonts w:eastAsiaTheme="minorEastAsia"/>
                <w:lang w:eastAsia="de-AT"/>
              </w:rPr>
              <w:t>Weiterbildung und Mobilität g</w:t>
            </w:r>
            <w:r w:rsidRPr="00E11E64">
              <w:rPr>
                <w:rFonts w:eastAsiaTheme="minorEastAsia"/>
                <w:lang w:eastAsia="de-AT"/>
              </w:rPr>
              <w:t>e</w:t>
            </w:r>
            <w:r w:rsidRPr="00E11E64">
              <w:rPr>
                <w:rFonts w:eastAsiaTheme="minorEastAsia"/>
                <w:lang w:eastAsia="de-AT"/>
              </w:rPr>
              <w:t>winnen.</w:t>
            </w:r>
          </w:p>
          <w:p w:rsidR="00E11E64" w:rsidRPr="00E11E64" w:rsidRDefault="00E11E64" w:rsidP="00E11E64">
            <w:pPr>
              <w:overflowPunct/>
              <w:spacing w:after="0"/>
              <w:jc w:val="left"/>
              <w:textAlignment w:val="auto"/>
              <w:rPr>
                <w:rFonts w:eastAsiaTheme="minorEastAsia"/>
                <w:i/>
                <w:lang w:eastAsia="de-AT"/>
              </w:rPr>
            </w:pPr>
            <w:r w:rsidRPr="00E11E64">
              <w:rPr>
                <w:rFonts w:eastAsiaTheme="minorEastAsia"/>
                <w:i/>
                <w:lang w:eastAsia="de-AT"/>
              </w:rPr>
              <w:t>Erkennen, dass in der Wirtschaft unterschiedliche Interessen aufe</w:t>
            </w:r>
            <w:r w:rsidRPr="00E11E64">
              <w:rPr>
                <w:rFonts w:eastAsiaTheme="minorEastAsia"/>
                <w:i/>
                <w:lang w:eastAsia="de-AT"/>
              </w:rPr>
              <w:t>i</w:t>
            </w:r>
            <w:r w:rsidRPr="00E11E64">
              <w:rPr>
                <w:rFonts w:eastAsiaTheme="minorEastAsia"/>
                <w:i/>
                <w:lang w:eastAsia="de-AT"/>
              </w:rPr>
              <w:t>nander treffen und dass die Methoden des Interessenausgleichs einem Wandel unterworfen sind.</w:t>
            </w:r>
          </w:p>
          <w:p w:rsidR="00E11E64" w:rsidRPr="00E11E64" w:rsidRDefault="00E11E64" w:rsidP="00E11E64">
            <w:pPr>
              <w:overflowPunct/>
              <w:spacing w:after="0"/>
              <w:jc w:val="left"/>
              <w:textAlignment w:val="auto"/>
              <w:rPr>
                <w:rFonts w:eastAsiaTheme="minorEastAsia"/>
                <w:lang w:eastAsia="de-AT"/>
              </w:rPr>
            </w:pPr>
            <w:r w:rsidRPr="00E11E64">
              <w:rPr>
                <w:rFonts w:eastAsiaTheme="minorEastAsia"/>
                <w:lang w:eastAsia="de-AT"/>
              </w:rPr>
              <w:t>Erfassen subjektiver und gesamtwirtschaftlicher Probleme der A</w:t>
            </w:r>
            <w:r w:rsidRPr="00E11E64">
              <w:rPr>
                <w:rFonts w:eastAsiaTheme="minorEastAsia"/>
                <w:lang w:eastAsia="de-AT"/>
              </w:rPr>
              <w:t>r</w:t>
            </w:r>
            <w:r w:rsidRPr="00E11E64">
              <w:rPr>
                <w:rFonts w:eastAsiaTheme="minorEastAsia"/>
                <w:lang w:eastAsia="de-AT"/>
              </w:rPr>
              <w:t>beitslosigkeit sowie nationaler und</w:t>
            </w:r>
          </w:p>
          <w:p w:rsidR="00E11E64" w:rsidRDefault="00E11E64" w:rsidP="00E11E64">
            <w:r w:rsidRPr="00E11E64">
              <w:rPr>
                <w:rFonts w:eastAsiaTheme="minorEastAsia"/>
                <w:lang w:eastAsia="de-AT"/>
              </w:rPr>
              <w:t>europäischer Lösungsansätze.</w:t>
            </w:r>
          </w:p>
        </w:tc>
      </w:tr>
      <w:tr w:rsidR="008507F0" w:rsidTr="00A36099">
        <w:tc>
          <w:tcPr>
            <w:tcW w:w="1809" w:type="dxa"/>
          </w:tcPr>
          <w:p w:rsidR="008507F0" w:rsidRDefault="008507F0">
            <w:r>
              <w:t>Lernziele</w:t>
            </w:r>
          </w:p>
        </w:tc>
        <w:tc>
          <w:tcPr>
            <w:tcW w:w="7403" w:type="dxa"/>
          </w:tcPr>
          <w:p w:rsidR="009C127A" w:rsidRDefault="009C127A" w:rsidP="000E7D2E">
            <w:pPr>
              <w:pStyle w:val="Listenabsatz"/>
              <w:numPr>
                <w:ilvl w:val="0"/>
                <w:numId w:val="1"/>
              </w:numPr>
              <w:ind w:left="145" w:hanging="145"/>
            </w:pPr>
            <w:r>
              <w:t>Die S/S sollen den Begriff der „Sozialpartnerschaft“ erklären kö</w:t>
            </w:r>
            <w:r>
              <w:t>n</w:t>
            </w:r>
            <w:r>
              <w:t>nen.</w:t>
            </w:r>
          </w:p>
          <w:p w:rsidR="008507F0" w:rsidRDefault="000E7D2E" w:rsidP="000E7D2E">
            <w:pPr>
              <w:pStyle w:val="Listenabsatz"/>
              <w:numPr>
                <w:ilvl w:val="0"/>
                <w:numId w:val="1"/>
              </w:numPr>
              <w:ind w:left="145" w:hanging="145"/>
            </w:pPr>
            <w:r>
              <w:t xml:space="preserve">Die S/S sollen sowohl die gesetzlichen als auch die freiwilligen Interessensvertretungen in Österreich kennen. </w:t>
            </w:r>
          </w:p>
          <w:p w:rsidR="000E7D2E" w:rsidRDefault="000E7D2E" w:rsidP="000E7D2E">
            <w:pPr>
              <w:pStyle w:val="Listenabsatz"/>
              <w:numPr>
                <w:ilvl w:val="0"/>
                <w:numId w:val="1"/>
              </w:numPr>
              <w:ind w:left="145" w:hanging="145"/>
            </w:pPr>
            <w:r>
              <w:lastRenderedPageBreak/>
              <w:t>Die S/S sollen deren Funktione</w:t>
            </w:r>
            <w:r w:rsidR="009C127A">
              <w:t xml:space="preserve">n und Aufgabenbereiche beschreiben </w:t>
            </w:r>
            <w:r>
              <w:t>können.</w:t>
            </w:r>
          </w:p>
          <w:p w:rsidR="000E7D2E" w:rsidRDefault="009C127A" w:rsidP="000E7D2E">
            <w:pPr>
              <w:pStyle w:val="Listenabsatz"/>
              <w:numPr>
                <w:ilvl w:val="0"/>
                <w:numId w:val="1"/>
              </w:numPr>
              <w:ind w:left="145" w:hanging="145"/>
            </w:pPr>
            <w:r>
              <w:t>Die S/S sollen Strategien der Einflussnahme von Interessensvertr</w:t>
            </w:r>
            <w:r>
              <w:t>e</w:t>
            </w:r>
            <w:r>
              <w:t>tungen erläutern können.</w:t>
            </w:r>
          </w:p>
          <w:p w:rsidR="009C127A" w:rsidRDefault="009C127A" w:rsidP="000E7D2E">
            <w:pPr>
              <w:pStyle w:val="Listenabsatz"/>
              <w:numPr>
                <w:ilvl w:val="0"/>
                <w:numId w:val="1"/>
              </w:numPr>
              <w:ind w:left="145" w:hanging="145"/>
            </w:pPr>
            <w:r>
              <w:t>Die S/S sollen die Rolle der Interessensvertreter auf politischer Eb</w:t>
            </w:r>
            <w:r>
              <w:t>e</w:t>
            </w:r>
            <w:r>
              <w:t xml:space="preserve">ne  im Rahmen von Interessenskonflikten zwischen Arbeitnehmer und Arbeitgeber </w:t>
            </w:r>
            <w:r w:rsidR="009D7F8D">
              <w:t xml:space="preserve">bewerten können. </w:t>
            </w:r>
          </w:p>
        </w:tc>
      </w:tr>
      <w:tr w:rsidR="008507F0" w:rsidTr="00A36099">
        <w:tc>
          <w:tcPr>
            <w:tcW w:w="1809" w:type="dxa"/>
          </w:tcPr>
          <w:p w:rsidR="008507F0" w:rsidRDefault="008507F0">
            <w:r>
              <w:lastRenderedPageBreak/>
              <w:t>Dauer</w:t>
            </w:r>
          </w:p>
        </w:tc>
        <w:tc>
          <w:tcPr>
            <w:tcW w:w="7403" w:type="dxa"/>
          </w:tcPr>
          <w:p w:rsidR="008507F0" w:rsidRDefault="009D7F8D">
            <w:r>
              <w:t>Eine Unterrichtseinheit = 50 Minuten</w:t>
            </w:r>
          </w:p>
        </w:tc>
      </w:tr>
      <w:tr w:rsidR="008507F0" w:rsidTr="00A36099">
        <w:tc>
          <w:tcPr>
            <w:tcW w:w="1809" w:type="dxa"/>
          </w:tcPr>
          <w:p w:rsidR="008507F0" w:rsidRDefault="008507F0">
            <w:r>
              <w:t>Medien</w:t>
            </w:r>
          </w:p>
        </w:tc>
        <w:tc>
          <w:tcPr>
            <w:tcW w:w="7403" w:type="dxa"/>
          </w:tcPr>
          <w:p w:rsidR="008507F0" w:rsidRDefault="009D7F8D">
            <w:r>
              <w:t>Einstieg: Zeichnung</w:t>
            </w:r>
          </w:p>
          <w:p w:rsidR="009D7F8D" w:rsidRDefault="009D7F8D">
            <w:r>
              <w:t>Info-Input Phase: PowerPoint Präsentation</w:t>
            </w:r>
          </w:p>
          <w:p w:rsidR="009D7F8D" w:rsidRDefault="009D7F8D">
            <w:r>
              <w:t>Arbeitsphase: Anweisungstexte</w:t>
            </w:r>
            <w:r w:rsidR="00877311">
              <w:t xml:space="preserve"> für das Rollenspiel</w:t>
            </w:r>
          </w:p>
        </w:tc>
      </w:tr>
    </w:tbl>
    <w:p w:rsidR="003F7ECD" w:rsidRPr="003F7ECD" w:rsidRDefault="003F7ECD" w:rsidP="0041304A">
      <w:pPr>
        <w:pStyle w:val="SZusammenfassung"/>
      </w:pPr>
      <w:r w:rsidRPr="003F7ECD">
        <w:t>Konzeptwissen</w:t>
      </w:r>
    </w:p>
    <w:p w:rsidR="003F7ECD" w:rsidRDefault="00FE6095">
      <w:r>
        <w:rPr>
          <w:noProof/>
        </w:rPr>
        <w:drawing>
          <wp:inline distT="0" distB="0" distL="0" distR="0">
            <wp:extent cx="4747308" cy="4257675"/>
            <wp:effectExtent l="19050" t="0" r="0" b="0"/>
            <wp:docPr id="2" name="Grafik 1" descr="Sozialpartnerschaft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zialpartnerschaft_01.jpg"/>
                    <pic:cNvPicPr/>
                  </pic:nvPicPr>
                  <pic:blipFill>
                    <a:blip r:embed="rId6" cstate="print"/>
                    <a:stretch>
                      <a:fillRect/>
                    </a:stretch>
                  </pic:blipFill>
                  <pic:spPr>
                    <a:xfrm>
                      <a:off x="0" y="0"/>
                      <a:ext cx="4747308" cy="4257675"/>
                    </a:xfrm>
                    <a:prstGeom prst="rect">
                      <a:avLst/>
                    </a:prstGeom>
                  </pic:spPr>
                </pic:pic>
              </a:graphicData>
            </a:graphic>
          </wp:inline>
        </w:drawing>
      </w:r>
    </w:p>
    <w:p w:rsidR="003F7ECD" w:rsidRDefault="00FE6095" w:rsidP="003F7ECD">
      <w:r>
        <w:lastRenderedPageBreak/>
        <w:t>Unter Sozialpartnerschaft versteht man ein System der Zusammenarbeit der großen wir</w:t>
      </w:r>
      <w:r>
        <w:t>t</w:t>
      </w:r>
      <w:r>
        <w:t xml:space="preserve">schaftlichen Interessensverbände </w:t>
      </w:r>
      <w:r w:rsidR="005D219A">
        <w:t>untereinander und der Regierung. Diese Zusammenarbeit besteht aus gesetzlich zum Teil genau festgelegten Aktivitäten der Sozialpartner. Die öste</w:t>
      </w:r>
      <w:r w:rsidR="005D219A">
        <w:t>r</w:t>
      </w:r>
      <w:r w:rsidR="005D219A">
        <w:t xml:space="preserve">reichische Sozialpartnerschaft nimmt Einfluss auf nahezu alle Gebiete der Sozial- und Wirtschaftspolitik. </w:t>
      </w:r>
      <w:r w:rsidR="00630A97">
        <w:t>Zu den zentralen Aufgaben der Sozialpartner gehören die Beteiligung an der Gesetzgebung, wie Einbringen von Gesetzesvorschlägen, Verwaltung</w:t>
      </w:r>
      <w:r w:rsidR="00B72BBC">
        <w:t xml:space="preserve"> (Mitwirken in verschiedenen Verfahren),</w:t>
      </w:r>
      <w:r w:rsidR="00630A97">
        <w:t xml:space="preserve"> Gerichtsbarkeit</w:t>
      </w:r>
      <w:r w:rsidR="00B72BBC">
        <w:t xml:space="preserve"> (Arbeits- und Sozialgericht) </w:t>
      </w:r>
      <w:r w:rsidR="00630A97">
        <w:t xml:space="preserve">, </w:t>
      </w:r>
      <w:r w:rsidR="00B72BBC">
        <w:t>Sozialversich</w:t>
      </w:r>
      <w:r w:rsidR="00B72BBC">
        <w:t>e</w:t>
      </w:r>
      <w:r w:rsidR="00B72BBC">
        <w:t xml:space="preserve">rung (Vertreter in Unfall-, Kranken-, und Pensionsversicherungsträger) sowie bei wichtigen arbeitsrechtlichen Punkten im Rahmen von Kollektivverträgen. </w:t>
      </w:r>
      <w:r w:rsidR="005E11DE">
        <w:t xml:space="preserve">Die Interessensverbände beruhen auf dem Prinzip der Selbstverwaltung. Sie bilden zum einen Kammern, welche gesetzliche Verbände darstellen und daher eine Zwangsmitgliedschaft fordern und zum anderen privatrechtliche Organisationen, deren Mitgliedschaft freiwillig ist. </w:t>
      </w:r>
      <w:r w:rsidR="00DF2649">
        <w:t>Die Kammern sind einer gesetzlichen Aufsicht unterstellt. Zwischen dem Parlament/der Regierung und den Interessensverbänden, sowohl gesetzlich als auch freiwillig,  findet ein ständiger polit</w:t>
      </w:r>
      <w:r w:rsidR="00DF2649">
        <w:t>i</w:t>
      </w:r>
      <w:r w:rsidR="00DF2649">
        <w:t>scher Prozess statt, der eine friedliche Lösung von Konflikten gewährleisten soll. Zu di</w:t>
      </w:r>
      <w:r w:rsidR="00DF2649">
        <w:t>e</w:t>
      </w:r>
      <w:r w:rsidR="00DE013D">
        <w:t>sem Zweck gibt es die so</w:t>
      </w:r>
      <w:r w:rsidR="00DF2649">
        <w:t xml:space="preserve">genannte Paritätische Kommission, </w:t>
      </w:r>
      <w:r w:rsidR="00DE6F94">
        <w:t>welche sich aus Repräsenta</w:t>
      </w:r>
      <w:r w:rsidR="00DE6F94">
        <w:t>n</w:t>
      </w:r>
      <w:r w:rsidR="00DE6F94">
        <w:t>ten der Regierung sowie den vier großen Interessen</w:t>
      </w:r>
      <w:r w:rsidR="00DF2649">
        <w:t>verbänden Österreichs (ÖGB,</w:t>
      </w:r>
      <w:r w:rsidR="00DE6F94">
        <w:t xml:space="preserve"> BAK, WKÖ</w:t>
      </w:r>
      <w:r w:rsidR="00DF2649">
        <w:t>, LWK</w:t>
      </w:r>
      <w:r w:rsidR="00DE6F94">
        <w:t xml:space="preserve">) zusammensetzt. Die Paritätische Kommission stellt eine Art Gesprächsebene zwischen Sozialpartner und Regierung dar. Sie richtet </w:t>
      </w:r>
      <w:r w:rsidR="00DF2649">
        <w:t>Empfehlungen an die Regie</w:t>
      </w:r>
      <w:r w:rsidR="00DE6F94">
        <w:t>rung und das Parlament. Da  sie von den wichtigsten Vertretern der österreichischen Wirtschaft stammen, haben diese Empfehlungen große Bedeutung und werden häufig von Parlament und Re</w:t>
      </w:r>
      <w:r w:rsidR="003C50A8">
        <w:t>gierung umgesetzt</w:t>
      </w:r>
      <w:r w:rsidR="00C93530">
        <w:t>. Nach den politischen Parteien haben die vier Sozialpartner den größten Einfluss i</w:t>
      </w:r>
      <w:r w:rsidR="003619E1">
        <w:t>m politischen System Österreichs (</w:t>
      </w:r>
      <w:r w:rsidR="003C50A8" w:rsidRPr="003C50A8">
        <w:rPr>
          <w:smallCaps/>
        </w:rPr>
        <w:t>Die Sozialpartner Österreichs</w:t>
      </w:r>
      <w:r w:rsidR="003C50A8">
        <w:t xml:space="preserve"> 2013: </w:t>
      </w:r>
      <w:proofErr w:type="spellStart"/>
      <w:r w:rsidR="003C50A8">
        <w:t>o.S</w:t>
      </w:r>
      <w:proofErr w:type="spellEnd"/>
      <w:r w:rsidR="003C50A8">
        <w:t>.)</w:t>
      </w:r>
      <w:r w:rsidR="00C93530">
        <w:t xml:space="preserve">. </w:t>
      </w:r>
    </w:p>
    <w:p w:rsidR="003F7ECD" w:rsidRDefault="003F7ECD"/>
    <w:p w:rsidR="003F7ECD" w:rsidRPr="00B22021" w:rsidRDefault="003F7ECD" w:rsidP="0041304A">
      <w:pPr>
        <w:pStyle w:val="SZusammenfassung"/>
      </w:pPr>
      <w:r w:rsidRPr="00B22021">
        <w:t>Unterrichtsplanung</w:t>
      </w:r>
      <w:r>
        <w:t xml:space="preserve"> / -ablauf</w:t>
      </w:r>
    </w:p>
    <w:tbl>
      <w:tblPr>
        <w:tblStyle w:val="Tabellengitternetz"/>
        <w:tblW w:w="0" w:type="auto"/>
        <w:tblLook w:val="04A0"/>
      </w:tblPr>
      <w:tblGrid>
        <w:gridCol w:w="388"/>
        <w:gridCol w:w="952"/>
        <w:gridCol w:w="2925"/>
        <w:gridCol w:w="1661"/>
        <w:gridCol w:w="1660"/>
      </w:tblGrid>
      <w:tr w:rsidR="005B4DDB" w:rsidRPr="00F36C8D" w:rsidTr="00F36C8D">
        <w:tc>
          <w:tcPr>
            <w:tcW w:w="392" w:type="dxa"/>
          </w:tcPr>
          <w:p w:rsidR="00F36C8D" w:rsidRPr="00F36C8D" w:rsidRDefault="00F36C8D" w:rsidP="003F7ECD">
            <w:pPr>
              <w:rPr>
                <w:b/>
              </w:rPr>
            </w:pPr>
          </w:p>
        </w:tc>
        <w:tc>
          <w:tcPr>
            <w:tcW w:w="992" w:type="dxa"/>
          </w:tcPr>
          <w:p w:rsidR="00F36C8D" w:rsidRPr="00F36C8D" w:rsidRDefault="00F36C8D" w:rsidP="003F7ECD">
            <w:pPr>
              <w:rPr>
                <w:b/>
              </w:rPr>
            </w:pPr>
            <w:r w:rsidRPr="00F36C8D">
              <w:rPr>
                <w:b/>
              </w:rPr>
              <w:t>Dauer</w:t>
            </w:r>
          </w:p>
        </w:tc>
        <w:tc>
          <w:tcPr>
            <w:tcW w:w="3122" w:type="dxa"/>
          </w:tcPr>
          <w:p w:rsidR="00F36C8D" w:rsidRPr="00F36C8D" w:rsidRDefault="00F36C8D" w:rsidP="003F7ECD">
            <w:pPr>
              <w:rPr>
                <w:b/>
              </w:rPr>
            </w:pPr>
            <w:r w:rsidRPr="00F36C8D">
              <w:rPr>
                <w:b/>
              </w:rPr>
              <w:t>S/S bzw. Lehreraktivitäten</w:t>
            </w:r>
          </w:p>
        </w:tc>
        <w:tc>
          <w:tcPr>
            <w:tcW w:w="1502" w:type="dxa"/>
          </w:tcPr>
          <w:p w:rsidR="00F36C8D" w:rsidRPr="00F36C8D" w:rsidRDefault="00F36C8D" w:rsidP="003F7ECD">
            <w:pPr>
              <w:rPr>
                <w:b/>
              </w:rPr>
            </w:pPr>
            <w:r w:rsidRPr="00F36C8D">
              <w:rPr>
                <w:b/>
              </w:rPr>
              <w:t>Lehrformen</w:t>
            </w:r>
          </w:p>
        </w:tc>
        <w:tc>
          <w:tcPr>
            <w:tcW w:w="1560" w:type="dxa"/>
          </w:tcPr>
          <w:p w:rsidR="00F36C8D" w:rsidRPr="00F36C8D" w:rsidRDefault="00F36C8D" w:rsidP="003F7ECD">
            <w:pPr>
              <w:rPr>
                <w:b/>
              </w:rPr>
            </w:pPr>
            <w:r w:rsidRPr="00F36C8D">
              <w:rPr>
                <w:b/>
              </w:rPr>
              <w:t>Material/Medien</w:t>
            </w:r>
          </w:p>
        </w:tc>
      </w:tr>
      <w:tr w:rsidR="005B4DDB" w:rsidTr="00F36C8D">
        <w:tc>
          <w:tcPr>
            <w:tcW w:w="392" w:type="dxa"/>
          </w:tcPr>
          <w:p w:rsidR="00F36C8D" w:rsidRDefault="00F36C8D" w:rsidP="003F7ECD">
            <w:r>
              <w:t>1.</w:t>
            </w:r>
          </w:p>
        </w:tc>
        <w:tc>
          <w:tcPr>
            <w:tcW w:w="992" w:type="dxa"/>
          </w:tcPr>
          <w:p w:rsidR="00F36C8D" w:rsidRDefault="00F36C8D" w:rsidP="003F7ECD">
            <w:r>
              <w:t>5 min</w:t>
            </w:r>
          </w:p>
        </w:tc>
        <w:tc>
          <w:tcPr>
            <w:tcW w:w="3122" w:type="dxa"/>
          </w:tcPr>
          <w:p w:rsidR="00F36C8D" w:rsidRDefault="00F36C8D" w:rsidP="003F7ECD">
            <w:r>
              <w:t>Begrüßung, Klärung formaler Angelegenheiten,</w:t>
            </w:r>
            <w:r w:rsidR="009C3B01">
              <w:t xml:space="preserve"> Lehrperson gibt einen Überblick über die Lernziele, die  in dieser Unte</w:t>
            </w:r>
            <w:r w:rsidR="009C3B01">
              <w:t>r</w:t>
            </w:r>
            <w:r w:rsidR="009C3B01">
              <w:t>ric</w:t>
            </w:r>
            <w:r w:rsidR="00AB2DB9">
              <w:t>htseinheit erreicht werden soll</w:t>
            </w:r>
            <w:r w:rsidR="009C3B01">
              <w:t>en</w:t>
            </w:r>
            <w:r w:rsidR="00AB2DB9">
              <w:t>.</w:t>
            </w:r>
          </w:p>
        </w:tc>
        <w:tc>
          <w:tcPr>
            <w:tcW w:w="1502" w:type="dxa"/>
          </w:tcPr>
          <w:p w:rsidR="00F36C8D" w:rsidRDefault="00F36C8D" w:rsidP="003F7ECD">
            <w:r>
              <w:t>L/S- Gespräch</w:t>
            </w:r>
          </w:p>
        </w:tc>
        <w:tc>
          <w:tcPr>
            <w:tcW w:w="1560" w:type="dxa"/>
          </w:tcPr>
          <w:p w:rsidR="00F36C8D" w:rsidRDefault="009C3B01" w:rsidP="003F7ECD">
            <w:r>
              <w:t>k</w:t>
            </w:r>
            <w:r w:rsidR="00F36C8D">
              <w:t>eine</w:t>
            </w:r>
          </w:p>
        </w:tc>
      </w:tr>
      <w:tr w:rsidR="005B4DDB" w:rsidTr="00F36C8D">
        <w:tc>
          <w:tcPr>
            <w:tcW w:w="392" w:type="dxa"/>
          </w:tcPr>
          <w:p w:rsidR="00F36C8D" w:rsidRDefault="00F36C8D" w:rsidP="003F7ECD">
            <w:r>
              <w:t>2.</w:t>
            </w:r>
          </w:p>
        </w:tc>
        <w:tc>
          <w:tcPr>
            <w:tcW w:w="992" w:type="dxa"/>
          </w:tcPr>
          <w:p w:rsidR="00F36C8D" w:rsidRDefault="009C3B01" w:rsidP="003F7ECD">
            <w:r>
              <w:t>5</w:t>
            </w:r>
            <w:r w:rsidR="00F36C8D">
              <w:t xml:space="preserve"> min</w:t>
            </w:r>
          </w:p>
        </w:tc>
        <w:tc>
          <w:tcPr>
            <w:tcW w:w="3122" w:type="dxa"/>
          </w:tcPr>
          <w:p w:rsidR="00F36C8D" w:rsidRDefault="009C3B01" w:rsidP="003F7ECD">
            <w:r>
              <w:t xml:space="preserve">Einführung in das Thema mit Hilfe von Impulsfragen zur Interpretation der Zeichnung </w:t>
            </w:r>
          </w:p>
        </w:tc>
        <w:tc>
          <w:tcPr>
            <w:tcW w:w="1502" w:type="dxa"/>
          </w:tcPr>
          <w:p w:rsidR="00F36C8D" w:rsidRDefault="009C3B01" w:rsidP="003F7ECD">
            <w:r>
              <w:t>L/S- Gespräch</w:t>
            </w:r>
          </w:p>
        </w:tc>
        <w:tc>
          <w:tcPr>
            <w:tcW w:w="1560" w:type="dxa"/>
          </w:tcPr>
          <w:p w:rsidR="00F36C8D" w:rsidRDefault="009C3B01" w:rsidP="003F7ECD">
            <w:r>
              <w:t>Zeichnung</w:t>
            </w:r>
            <w:r w:rsidR="00535332">
              <w:t xml:space="preserve"> am </w:t>
            </w:r>
            <w:proofErr w:type="spellStart"/>
            <w:r w:rsidR="00A73DBA">
              <w:t>Beamer</w:t>
            </w:r>
            <w:proofErr w:type="spellEnd"/>
          </w:p>
        </w:tc>
      </w:tr>
      <w:tr w:rsidR="005B4DDB" w:rsidTr="00F36C8D">
        <w:tc>
          <w:tcPr>
            <w:tcW w:w="392" w:type="dxa"/>
          </w:tcPr>
          <w:p w:rsidR="00F36C8D" w:rsidRDefault="009C3B01" w:rsidP="003F7ECD">
            <w:r>
              <w:t>3.</w:t>
            </w:r>
          </w:p>
        </w:tc>
        <w:tc>
          <w:tcPr>
            <w:tcW w:w="992" w:type="dxa"/>
          </w:tcPr>
          <w:p w:rsidR="00F36C8D" w:rsidRDefault="006D62F6" w:rsidP="003F7ECD">
            <w:r>
              <w:t>10</w:t>
            </w:r>
            <w:r w:rsidR="009C3B01">
              <w:t xml:space="preserve"> min</w:t>
            </w:r>
          </w:p>
        </w:tc>
        <w:tc>
          <w:tcPr>
            <w:tcW w:w="3122" w:type="dxa"/>
          </w:tcPr>
          <w:p w:rsidR="00F36C8D" w:rsidRDefault="009C3B01" w:rsidP="003F7ECD">
            <w:r>
              <w:t xml:space="preserve">Verteilen der Arbeitsblätter; </w:t>
            </w:r>
            <w:r w:rsidR="00535332">
              <w:t>Lehrperson gibt Arbeitsanwe</w:t>
            </w:r>
            <w:r w:rsidR="00535332">
              <w:t>i</w:t>
            </w:r>
            <w:r w:rsidR="00535332">
              <w:t xml:space="preserve">sungen, S/S lösen mithilfe der Präsentation das Arbeitsblatt </w:t>
            </w:r>
          </w:p>
        </w:tc>
        <w:tc>
          <w:tcPr>
            <w:tcW w:w="1502" w:type="dxa"/>
          </w:tcPr>
          <w:p w:rsidR="00F36C8D" w:rsidRDefault="009C3B01" w:rsidP="003F7ECD">
            <w:r>
              <w:t>L/S- Gespräch, Informationsinput</w:t>
            </w:r>
          </w:p>
        </w:tc>
        <w:tc>
          <w:tcPr>
            <w:tcW w:w="1560" w:type="dxa"/>
          </w:tcPr>
          <w:p w:rsidR="00F36C8D" w:rsidRDefault="009C3B01" w:rsidP="003F7ECD">
            <w:r>
              <w:t>PowerPoint- Präsentation, Arbeitsblatt</w:t>
            </w:r>
          </w:p>
        </w:tc>
      </w:tr>
      <w:tr w:rsidR="009C3B01" w:rsidTr="00F36C8D">
        <w:tc>
          <w:tcPr>
            <w:tcW w:w="392" w:type="dxa"/>
          </w:tcPr>
          <w:p w:rsidR="009C3B01" w:rsidRDefault="009C3B01" w:rsidP="003F7ECD">
            <w:r>
              <w:t>4.</w:t>
            </w:r>
          </w:p>
        </w:tc>
        <w:tc>
          <w:tcPr>
            <w:tcW w:w="992" w:type="dxa"/>
          </w:tcPr>
          <w:p w:rsidR="009C3B01" w:rsidRDefault="006D62F6" w:rsidP="003F7ECD">
            <w:r>
              <w:t>5 min</w:t>
            </w:r>
          </w:p>
        </w:tc>
        <w:tc>
          <w:tcPr>
            <w:tcW w:w="3122" w:type="dxa"/>
          </w:tcPr>
          <w:p w:rsidR="009C3B01" w:rsidRDefault="006D62F6" w:rsidP="003F7ECD">
            <w:r>
              <w:t>Gruppeneinteilung für das Ro</w:t>
            </w:r>
            <w:r>
              <w:t>l</w:t>
            </w:r>
            <w:r>
              <w:t>lenspiel, Verteilen der Anwe</w:t>
            </w:r>
            <w:r>
              <w:t>i</w:t>
            </w:r>
            <w:r>
              <w:lastRenderedPageBreak/>
              <w:t>sungstexte</w:t>
            </w:r>
            <w:r w:rsidR="00535332">
              <w:t xml:space="preserve"> </w:t>
            </w:r>
          </w:p>
        </w:tc>
        <w:tc>
          <w:tcPr>
            <w:tcW w:w="1502" w:type="dxa"/>
          </w:tcPr>
          <w:p w:rsidR="009C3B01" w:rsidRDefault="006D62F6" w:rsidP="003F7ECD">
            <w:r>
              <w:lastRenderedPageBreak/>
              <w:t>Rollenspiel</w:t>
            </w:r>
          </w:p>
        </w:tc>
        <w:tc>
          <w:tcPr>
            <w:tcW w:w="1560" w:type="dxa"/>
          </w:tcPr>
          <w:p w:rsidR="009C3B01" w:rsidRDefault="006D62F6" w:rsidP="003F7ECD">
            <w:r>
              <w:t>Anweisung</w:t>
            </w:r>
            <w:r w:rsidR="00535332">
              <w:t>sblatt</w:t>
            </w:r>
          </w:p>
        </w:tc>
      </w:tr>
      <w:tr w:rsidR="006D62F6" w:rsidTr="00F36C8D">
        <w:tc>
          <w:tcPr>
            <w:tcW w:w="392" w:type="dxa"/>
          </w:tcPr>
          <w:p w:rsidR="006D62F6" w:rsidRDefault="006D62F6" w:rsidP="003F7ECD">
            <w:r>
              <w:lastRenderedPageBreak/>
              <w:t>5.</w:t>
            </w:r>
          </w:p>
        </w:tc>
        <w:tc>
          <w:tcPr>
            <w:tcW w:w="992" w:type="dxa"/>
          </w:tcPr>
          <w:p w:rsidR="006D62F6" w:rsidRDefault="006D62F6" w:rsidP="003F7ECD">
            <w:r>
              <w:t>5 min</w:t>
            </w:r>
          </w:p>
        </w:tc>
        <w:tc>
          <w:tcPr>
            <w:tcW w:w="3122" w:type="dxa"/>
          </w:tcPr>
          <w:p w:rsidR="006D62F6" w:rsidRDefault="006D62F6" w:rsidP="003F7ECD">
            <w:r>
              <w:t>Vorbereitung für Rollenspiel innerhalb der Gruppen laut Vo</w:t>
            </w:r>
            <w:r>
              <w:t>r</w:t>
            </w:r>
            <w:r>
              <w:t>gaben auf  dem Anweisungsblatt</w:t>
            </w:r>
          </w:p>
        </w:tc>
        <w:tc>
          <w:tcPr>
            <w:tcW w:w="1502" w:type="dxa"/>
          </w:tcPr>
          <w:p w:rsidR="006D62F6" w:rsidRDefault="006D62F6" w:rsidP="003F7ECD">
            <w:r>
              <w:t>S/S-Gespräch,</w:t>
            </w:r>
            <w:r>
              <w:br/>
              <w:t>Rollenspiel</w:t>
            </w:r>
          </w:p>
        </w:tc>
        <w:tc>
          <w:tcPr>
            <w:tcW w:w="1560" w:type="dxa"/>
          </w:tcPr>
          <w:p w:rsidR="006D62F6" w:rsidRDefault="006D62F6" w:rsidP="003F7ECD">
            <w:r>
              <w:t>Anweisungsblatt</w:t>
            </w:r>
          </w:p>
        </w:tc>
      </w:tr>
      <w:tr w:rsidR="006D62F6" w:rsidTr="00F36C8D">
        <w:tc>
          <w:tcPr>
            <w:tcW w:w="392" w:type="dxa"/>
          </w:tcPr>
          <w:p w:rsidR="006D62F6" w:rsidRDefault="006D62F6" w:rsidP="003F7ECD">
            <w:r>
              <w:t>6.</w:t>
            </w:r>
          </w:p>
        </w:tc>
        <w:tc>
          <w:tcPr>
            <w:tcW w:w="992" w:type="dxa"/>
          </w:tcPr>
          <w:p w:rsidR="006D62F6" w:rsidRDefault="005B4DDB" w:rsidP="003F7ECD">
            <w:r>
              <w:t>15 min</w:t>
            </w:r>
          </w:p>
        </w:tc>
        <w:tc>
          <w:tcPr>
            <w:tcW w:w="3122" w:type="dxa"/>
          </w:tcPr>
          <w:p w:rsidR="005B4DDB" w:rsidRDefault="005B4DDB" w:rsidP="003F7ECD">
            <w:r>
              <w:t>Durchführung des Rollenspiels, Beobachterrolle der Presse</w:t>
            </w:r>
          </w:p>
        </w:tc>
        <w:tc>
          <w:tcPr>
            <w:tcW w:w="1502" w:type="dxa"/>
          </w:tcPr>
          <w:p w:rsidR="006D62F6" w:rsidRDefault="005B4DDB" w:rsidP="003F7ECD">
            <w:r>
              <w:t>Rollenspiel</w:t>
            </w:r>
          </w:p>
        </w:tc>
        <w:tc>
          <w:tcPr>
            <w:tcW w:w="1560" w:type="dxa"/>
          </w:tcPr>
          <w:p w:rsidR="006D62F6" w:rsidRDefault="005B4DDB" w:rsidP="001A4D02">
            <w:r>
              <w:t>Anweisungsblatt</w:t>
            </w:r>
          </w:p>
        </w:tc>
      </w:tr>
      <w:tr w:rsidR="005B4DDB" w:rsidTr="00F36C8D">
        <w:tc>
          <w:tcPr>
            <w:tcW w:w="392" w:type="dxa"/>
          </w:tcPr>
          <w:p w:rsidR="005B4DDB" w:rsidRDefault="005B4DDB" w:rsidP="003F7ECD">
            <w:r>
              <w:t>7.</w:t>
            </w:r>
          </w:p>
        </w:tc>
        <w:tc>
          <w:tcPr>
            <w:tcW w:w="992" w:type="dxa"/>
          </w:tcPr>
          <w:p w:rsidR="005B4DDB" w:rsidRDefault="005B4DDB" w:rsidP="003F7ECD">
            <w:r>
              <w:t>5 min</w:t>
            </w:r>
          </w:p>
        </w:tc>
        <w:tc>
          <w:tcPr>
            <w:tcW w:w="3122" w:type="dxa"/>
          </w:tcPr>
          <w:p w:rsidR="005B4DDB" w:rsidRDefault="009048A5" w:rsidP="009048A5">
            <w:r>
              <w:t>Kurze Darstellung der Beobac</w:t>
            </w:r>
            <w:r>
              <w:t>h</w:t>
            </w:r>
            <w:r>
              <w:t>tungen der Verhandlungsschritte durch die Presse</w:t>
            </w:r>
            <w:r w:rsidRPr="001A4D02">
              <w:t>, Zusammenfa</w:t>
            </w:r>
            <w:r w:rsidRPr="001A4D02">
              <w:t>s</w:t>
            </w:r>
            <w:r w:rsidRPr="001A4D02">
              <w:t>sung bzw. Nachbesprechung</w:t>
            </w:r>
            <w:r w:rsidRPr="009048A5">
              <w:rPr>
                <w:color w:val="FF0000"/>
              </w:rPr>
              <w:t xml:space="preserve"> </w:t>
            </w:r>
            <w:r>
              <w:t>der Diskussion im Plenum</w:t>
            </w:r>
          </w:p>
        </w:tc>
        <w:tc>
          <w:tcPr>
            <w:tcW w:w="1502" w:type="dxa"/>
          </w:tcPr>
          <w:p w:rsidR="005B4DDB" w:rsidRDefault="009048A5" w:rsidP="003F7ECD">
            <w:r>
              <w:t>L/S- Diskussion</w:t>
            </w:r>
          </w:p>
        </w:tc>
        <w:tc>
          <w:tcPr>
            <w:tcW w:w="1560" w:type="dxa"/>
          </w:tcPr>
          <w:p w:rsidR="005B4DDB" w:rsidRDefault="009048A5" w:rsidP="003F7ECD">
            <w:r>
              <w:t>keine</w:t>
            </w:r>
          </w:p>
        </w:tc>
      </w:tr>
    </w:tbl>
    <w:p w:rsidR="003F7ECD" w:rsidRDefault="003F7ECD" w:rsidP="003F7ECD"/>
    <w:p w:rsidR="003F7ECD" w:rsidRDefault="003F7ECD" w:rsidP="003F7ECD"/>
    <w:p w:rsidR="003F7ECD" w:rsidRPr="00B22021" w:rsidRDefault="003F7ECD" w:rsidP="0041304A">
      <w:pPr>
        <w:pStyle w:val="SZusammenfassung"/>
      </w:pPr>
      <w:r w:rsidRPr="00B22021">
        <w:t>Unterrichts</w:t>
      </w:r>
      <w:r>
        <w:t>ressourcen (inkl. Erwartungshorizont)</w:t>
      </w:r>
    </w:p>
    <w:p w:rsidR="003F7ECD" w:rsidRDefault="00BC7430" w:rsidP="003F7ECD">
      <w:r>
        <w:t>Die Unterric</w:t>
      </w:r>
      <w:r w:rsidR="00AB2DB9">
        <w:t>htsressourcen</w:t>
      </w:r>
      <w:r w:rsidR="001A4D02">
        <w:t xml:space="preserve"> befinden sich gemeinsam mit dem Erwartungshorizont im A</w:t>
      </w:r>
      <w:r w:rsidR="001A4D02">
        <w:t>n</w:t>
      </w:r>
      <w:r w:rsidR="001A4D02">
        <w:t>hang (</w:t>
      </w:r>
      <w:proofErr w:type="spellStart"/>
      <w:r w:rsidR="00810039">
        <w:t>doc.</w:t>
      </w:r>
      <w:r w:rsidR="001A4D02">
        <w:t>Datei</w:t>
      </w:r>
      <w:proofErr w:type="spellEnd"/>
      <w:r w:rsidR="001A4D02">
        <w:t xml:space="preserve"> „Unterrichtsressourcen &amp; Erwartungshorizont“</w:t>
      </w:r>
      <w:r w:rsidR="00810039">
        <w:t xml:space="preserve"> sowie </w:t>
      </w:r>
      <w:proofErr w:type="spellStart"/>
      <w:r w:rsidR="00810039">
        <w:t>ppt.Datei</w:t>
      </w:r>
      <w:proofErr w:type="spellEnd"/>
      <w:r w:rsidR="00810039">
        <w:t xml:space="preserve"> „Die österreichische Sozialpartnerschaft“</w:t>
      </w:r>
      <w:r w:rsidR="001A4D02">
        <w:t>).</w:t>
      </w:r>
    </w:p>
    <w:p w:rsidR="003F7ECD" w:rsidRDefault="008F6AEF" w:rsidP="008F6AEF">
      <w:pPr>
        <w:pStyle w:val="SZusammenfassung"/>
      </w:pPr>
      <w:r>
        <w:t>Literatur</w:t>
      </w:r>
    </w:p>
    <w:p w:rsidR="008F6AEF" w:rsidRDefault="009575F4" w:rsidP="009575F4">
      <w:pPr>
        <w:ind w:left="567" w:hanging="567"/>
      </w:pPr>
      <w:bookmarkStart w:id="0" w:name="_GoBack"/>
      <w:bookmarkEnd w:id="0"/>
      <w:r w:rsidRPr="009575F4">
        <w:rPr>
          <w:smallCaps/>
        </w:rPr>
        <w:t>Die Sozialpartner Österreichs</w:t>
      </w:r>
      <w:r>
        <w:t xml:space="preserve"> (o.J.): Die österreichische Sozialpartnerschaft. &lt;</w:t>
      </w:r>
      <w:r w:rsidRPr="009575F4">
        <w:t>http://www.sozialpartner.at/sozialpartner/Sozialpartnerschaft_mission_de.pdf</w:t>
      </w:r>
      <w:r>
        <w:t xml:space="preserve"> &gt; (Zugriff: 2013-09-15).</w:t>
      </w:r>
    </w:p>
    <w:p w:rsidR="00AB2DB9" w:rsidRDefault="00AB2DB9" w:rsidP="009575F4">
      <w:pPr>
        <w:ind w:left="567" w:hanging="567"/>
      </w:pPr>
    </w:p>
    <w:sectPr w:rsidR="00AB2DB9" w:rsidSect="0041304A">
      <w:pgSz w:w="11906" w:h="16838" w:code="9"/>
      <w:pgMar w:top="1985" w:right="2268" w:bottom="3799" w:left="2268" w:header="1304" w:footer="3402"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A4D15"/>
    <w:multiLevelType w:val="hybridMultilevel"/>
    <w:tmpl w:val="D626F1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characterSpacingControl w:val="doNotCompress"/>
  <w:compat>
    <w:useFELayout/>
  </w:compat>
  <w:rsids>
    <w:rsidRoot w:val="00AE4B74"/>
    <w:rsid w:val="000038C9"/>
    <w:rsid w:val="00037AE9"/>
    <w:rsid w:val="00054EB6"/>
    <w:rsid w:val="000E7D2E"/>
    <w:rsid w:val="00104230"/>
    <w:rsid w:val="00126424"/>
    <w:rsid w:val="00157761"/>
    <w:rsid w:val="00174800"/>
    <w:rsid w:val="00175F63"/>
    <w:rsid w:val="001A4D02"/>
    <w:rsid w:val="001C1AC1"/>
    <w:rsid w:val="001D42D7"/>
    <w:rsid w:val="001E2F4F"/>
    <w:rsid w:val="002350E0"/>
    <w:rsid w:val="0025012F"/>
    <w:rsid w:val="00255D73"/>
    <w:rsid w:val="00272B2D"/>
    <w:rsid w:val="002D5B61"/>
    <w:rsid w:val="00312D7A"/>
    <w:rsid w:val="003619E1"/>
    <w:rsid w:val="00372E8D"/>
    <w:rsid w:val="003B2298"/>
    <w:rsid w:val="003B5664"/>
    <w:rsid w:val="003C50A8"/>
    <w:rsid w:val="003F7ECD"/>
    <w:rsid w:val="0041304A"/>
    <w:rsid w:val="00494C56"/>
    <w:rsid w:val="004D11A1"/>
    <w:rsid w:val="00500911"/>
    <w:rsid w:val="00535332"/>
    <w:rsid w:val="005668A4"/>
    <w:rsid w:val="0058020B"/>
    <w:rsid w:val="005B4DDB"/>
    <w:rsid w:val="005D219A"/>
    <w:rsid w:val="005E11DE"/>
    <w:rsid w:val="00604F38"/>
    <w:rsid w:val="00621D49"/>
    <w:rsid w:val="00630A97"/>
    <w:rsid w:val="006753BE"/>
    <w:rsid w:val="00685B48"/>
    <w:rsid w:val="006D62F6"/>
    <w:rsid w:val="007211DD"/>
    <w:rsid w:val="0072751A"/>
    <w:rsid w:val="0076244B"/>
    <w:rsid w:val="00786D3A"/>
    <w:rsid w:val="007902D4"/>
    <w:rsid w:val="007B1552"/>
    <w:rsid w:val="007E36D8"/>
    <w:rsid w:val="00810039"/>
    <w:rsid w:val="00811323"/>
    <w:rsid w:val="00823982"/>
    <w:rsid w:val="008507F0"/>
    <w:rsid w:val="00856E24"/>
    <w:rsid w:val="00867440"/>
    <w:rsid w:val="00877311"/>
    <w:rsid w:val="00884125"/>
    <w:rsid w:val="008E4CD5"/>
    <w:rsid w:val="008F6AEF"/>
    <w:rsid w:val="009048A5"/>
    <w:rsid w:val="009575F4"/>
    <w:rsid w:val="00960390"/>
    <w:rsid w:val="009A25FE"/>
    <w:rsid w:val="009C127A"/>
    <w:rsid w:val="009C3B01"/>
    <w:rsid w:val="009D7F8D"/>
    <w:rsid w:val="00A36099"/>
    <w:rsid w:val="00A73DBA"/>
    <w:rsid w:val="00A7638E"/>
    <w:rsid w:val="00A80031"/>
    <w:rsid w:val="00AB2DB9"/>
    <w:rsid w:val="00AE4B74"/>
    <w:rsid w:val="00AF7F13"/>
    <w:rsid w:val="00B16C94"/>
    <w:rsid w:val="00B22021"/>
    <w:rsid w:val="00B41285"/>
    <w:rsid w:val="00B560ED"/>
    <w:rsid w:val="00B72BBC"/>
    <w:rsid w:val="00BC7430"/>
    <w:rsid w:val="00C93530"/>
    <w:rsid w:val="00CD524D"/>
    <w:rsid w:val="00D810BF"/>
    <w:rsid w:val="00DE013D"/>
    <w:rsid w:val="00DE6F94"/>
    <w:rsid w:val="00DF2649"/>
    <w:rsid w:val="00E11E64"/>
    <w:rsid w:val="00ED7BC0"/>
    <w:rsid w:val="00F36C8D"/>
    <w:rsid w:val="00F55660"/>
    <w:rsid w:val="00F8647B"/>
    <w:rsid w:val="00FA4FD4"/>
    <w:rsid w:val="00FC6712"/>
    <w:rsid w:val="00FE609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EC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3F7ECD"/>
    <w:pPr>
      <w:keepNext/>
      <w:tabs>
        <w:tab w:val="left" w:pos="510"/>
      </w:tabs>
      <w:spacing w:before="480"/>
      <w:ind w:left="510" w:hanging="510"/>
      <w:jc w:val="left"/>
      <w:outlineLvl w:val="0"/>
    </w:pPr>
    <w:rPr>
      <w:b/>
      <w:kern w:val="28"/>
      <w:sz w:val="26"/>
    </w:rPr>
  </w:style>
  <w:style w:type="paragraph" w:styleId="berschrift2">
    <w:name w:val="heading 2"/>
    <w:basedOn w:val="Standard"/>
    <w:next w:val="Standard"/>
    <w:link w:val="berschrift2Zchn"/>
    <w:qFormat/>
    <w:rsid w:val="003F7ECD"/>
    <w:pPr>
      <w:keepNext/>
      <w:tabs>
        <w:tab w:val="left" w:pos="510"/>
      </w:tabs>
      <w:spacing w:before="240"/>
      <w:ind w:left="510" w:hanging="510"/>
      <w:jc w:val="left"/>
      <w:outlineLvl w:val="1"/>
    </w:pPr>
    <w:rPr>
      <w:b/>
      <w:sz w:val="24"/>
    </w:rPr>
  </w:style>
  <w:style w:type="paragraph" w:styleId="berschrift3">
    <w:name w:val="heading 3"/>
    <w:basedOn w:val="Standard"/>
    <w:next w:val="Standard"/>
    <w:link w:val="berschrift3Zchn"/>
    <w:qFormat/>
    <w:rsid w:val="003F7ECD"/>
    <w:pPr>
      <w:keepNext/>
      <w:tabs>
        <w:tab w:val="left" w:pos="510"/>
      </w:tabs>
      <w:spacing w:before="240"/>
      <w:ind w:left="510" w:hanging="510"/>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nachTab">
    <w:name w:val="Absatz nach Tab."/>
    <w:basedOn w:val="Standard"/>
    <w:rsid w:val="003F7ECD"/>
    <w:pPr>
      <w:spacing w:before="360"/>
    </w:pPr>
  </w:style>
  <w:style w:type="paragraph" w:customStyle="1" w:styleId="Beitragstitel">
    <w:name w:val="Beitragstitel"/>
    <w:basedOn w:val="Standard"/>
    <w:rsid w:val="003F7ECD"/>
    <w:pPr>
      <w:tabs>
        <w:tab w:val="left" w:pos="851"/>
      </w:tabs>
      <w:spacing w:after="240"/>
      <w:jc w:val="center"/>
    </w:pPr>
    <w:rPr>
      <w:b/>
      <w:sz w:val="28"/>
    </w:rPr>
  </w:style>
  <w:style w:type="paragraph" w:customStyle="1" w:styleId="Autorenname">
    <w:name w:val="Autorenname"/>
    <w:basedOn w:val="Beitragstitel"/>
    <w:rsid w:val="003F7ECD"/>
    <w:rPr>
      <w:b w:val="0"/>
      <w:sz w:val="20"/>
    </w:rPr>
  </w:style>
  <w:style w:type="paragraph" w:styleId="Beschriftung">
    <w:name w:val="caption"/>
    <w:basedOn w:val="Standard"/>
    <w:next w:val="Standard"/>
    <w:qFormat/>
    <w:rsid w:val="003F7ECD"/>
    <w:pPr>
      <w:tabs>
        <w:tab w:val="left" w:pos="1701"/>
      </w:tabs>
      <w:spacing w:before="120"/>
      <w:ind w:left="567"/>
    </w:pPr>
    <w:rPr>
      <w:rFonts w:ascii="Arial" w:hAnsi="Arial"/>
      <w:b/>
    </w:rPr>
  </w:style>
  <w:style w:type="paragraph" w:styleId="Funotentext">
    <w:name w:val="footnote text"/>
    <w:basedOn w:val="Standard"/>
    <w:link w:val="FunotentextZchn"/>
    <w:semiHidden/>
    <w:rsid w:val="003F7ECD"/>
    <w:pPr>
      <w:tabs>
        <w:tab w:val="left" w:pos="198"/>
      </w:tabs>
      <w:ind w:left="198" w:hanging="198"/>
    </w:pPr>
    <w:rPr>
      <w:sz w:val="18"/>
    </w:rPr>
  </w:style>
  <w:style w:type="character" w:customStyle="1" w:styleId="FunotentextZchn">
    <w:name w:val="Fußnotentext Zchn"/>
    <w:basedOn w:val="Absatz-Standardschriftart"/>
    <w:link w:val="Funotentext"/>
    <w:semiHidden/>
    <w:rsid w:val="003F7ECD"/>
    <w:rPr>
      <w:rFonts w:ascii="Times New Roman" w:eastAsia="Times New Roman" w:hAnsi="Times New Roman" w:cs="Times New Roman"/>
      <w:sz w:val="18"/>
      <w:szCs w:val="20"/>
      <w:lang w:val="de-DE" w:eastAsia="de-DE"/>
    </w:rPr>
  </w:style>
  <w:style w:type="character" w:styleId="Funotenzeichen">
    <w:name w:val="footnote reference"/>
    <w:basedOn w:val="Absatz-Standardschriftart"/>
    <w:semiHidden/>
    <w:rsid w:val="003F7ECD"/>
    <w:rPr>
      <w:vertAlign w:val="superscript"/>
    </w:rPr>
  </w:style>
  <w:style w:type="character" w:customStyle="1" w:styleId="berschrift1Zchn">
    <w:name w:val="Überschrift 1 Zchn"/>
    <w:basedOn w:val="Absatz-Standardschriftart"/>
    <w:link w:val="berschrift1"/>
    <w:rsid w:val="003F7ECD"/>
    <w:rPr>
      <w:rFonts w:ascii="Times New Roman" w:eastAsia="Times New Roman" w:hAnsi="Times New Roman" w:cs="Times New Roman"/>
      <w:b/>
      <w:kern w:val="28"/>
      <w:sz w:val="26"/>
      <w:szCs w:val="20"/>
      <w:lang w:val="de-DE" w:eastAsia="de-DE"/>
    </w:rPr>
  </w:style>
  <w:style w:type="character" w:customStyle="1" w:styleId="berschrift2Zchn">
    <w:name w:val="Überschrift 2 Zchn"/>
    <w:basedOn w:val="Absatz-Standardschriftart"/>
    <w:link w:val="berschrift2"/>
    <w:rsid w:val="003F7ECD"/>
    <w:rPr>
      <w:rFonts w:ascii="Times New Roman" w:eastAsia="Times New Roman" w:hAnsi="Times New Roman" w:cs="Times New Roman"/>
      <w:b/>
      <w:sz w:val="24"/>
      <w:szCs w:val="20"/>
      <w:lang w:val="de-DE" w:eastAsia="de-DE"/>
    </w:rPr>
  </w:style>
  <w:style w:type="character" w:customStyle="1" w:styleId="berschrift3Zchn">
    <w:name w:val="Überschrift 3 Zchn"/>
    <w:basedOn w:val="Absatz-Standardschriftart"/>
    <w:link w:val="berschrift3"/>
    <w:rsid w:val="003F7ECD"/>
    <w:rPr>
      <w:rFonts w:ascii="Times New Roman" w:eastAsia="Times New Roman" w:hAnsi="Times New Roman" w:cs="Times New Roman"/>
      <w:b/>
      <w:szCs w:val="20"/>
      <w:lang w:val="de-DE" w:eastAsia="de-DE"/>
    </w:rPr>
  </w:style>
  <w:style w:type="paragraph" w:styleId="Fuzeile">
    <w:name w:val="footer"/>
    <w:basedOn w:val="Standard"/>
    <w:link w:val="FuzeileZchn"/>
    <w:rsid w:val="003F7ECD"/>
    <w:pPr>
      <w:tabs>
        <w:tab w:val="center" w:pos="4536"/>
        <w:tab w:val="right" w:pos="9072"/>
      </w:tabs>
    </w:pPr>
    <w:rPr>
      <w:sz w:val="18"/>
    </w:rPr>
  </w:style>
  <w:style w:type="character" w:customStyle="1" w:styleId="FuzeileZchn">
    <w:name w:val="Fußzeile Zchn"/>
    <w:basedOn w:val="Absatz-Standardschriftart"/>
    <w:link w:val="Fuzeile"/>
    <w:rsid w:val="003F7ECD"/>
    <w:rPr>
      <w:rFonts w:ascii="Times New Roman" w:eastAsia="Times New Roman" w:hAnsi="Times New Roman" w:cs="Times New Roman"/>
      <w:sz w:val="18"/>
      <w:szCs w:val="20"/>
      <w:lang w:val="de-DE" w:eastAsia="de-DE"/>
    </w:rPr>
  </w:style>
  <w:style w:type="paragraph" w:customStyle="1" w:styleId="Graphik">
    <w:name w:val="Graphik"/>
    <w:basedOn w:val="Standard"/>
    <w:rsid w:val="003F7ECD"/>
    <w:pPr>
      <w:spacing w:before="360"/>
      <w:jc w:val="center"/>
    </w:pPr>
  </w:style>
  <w:style w:type="character" w:styleId="Hyperlink">
    <w:name w:val="Hyperlink"/>
    <w:basedOn w:val="Absatz-Standardschriftart"/>
    <w:rsid w:val="003F7ECD"/>
    <w:rPr>
      <w:smallCaps/>
      <w:color w:val="auto"/>
      <w:u w:val="none"/>
    </w:rPr>
  </w:style>
  <w:style w:type="paragraph" w:styleId="Kopfzeile">
    <w:name w:val="header"/>
    <w:basedOn w:val="Standard"/>
    <w:link w:val="KopfzeileZchn"/>
    <w:rsid w:val="003F7ECD"/>
    <w:pPr>
      <w:tabs>
        <w:tab w:val="center" w:pos="4536"/>
        <w:tab w:val="right" w:pos="9072"/>
      </w:tabs>
    </w:pPr>
    <w:rPr>
      <w:sz w:val="18"/>
    </w:rPr>
  </w:style>
  <w:style w:type="character" w:customStyle="1" w:styleId="KopfzeileZchn">
    <w:name w:val="Kopfzeile Zchn"/>
    <w:basedOn w:val="Absatz-Standardschriftart"/>
    <w:link w:val="Kopfzeile"/>
    <w:rsid w:val="003F7ECD"/>
    <w:rPr>
      <w:rFonts w:ascii="Times New Roman" w:eastAsia="Times New Roman" w:hAnsi="Times New Roman" w:cs="Times New Roman"/>
      <w:sz w:val="18"/>
      <w:szCs w:val="20"/>
      <w:lang w:val="de-DE" w:eastAsia="de-DE"/>
    </w:rPr>
  </w:style>
  <w:style w:type="paragraph" w:customStyle="1" w:styleId="Literaturliste">
    <w:name w:val="Literaturliste"/>
    <w:basedOn w:val="Standard"/>
    <w:rsid w:val="003F7ECD"/>
    <w:pPr>
      <w:ind w:left="284" w:hanging="284"/>
    </w:pPr>
  </w:style>
  <w:style w:type="character" w:styleId="Seitenzahl">
    <w:name w:val="page number"/>
    <w:basedOn w:val="Absatz-Standardschriftart"/>
    <w:rsid w:val="003F7ECD"/>
    <w:rPr>
      <w:sz w:val="18"/>
    </w:rPr>
  </w:style>
  <w:style w:type="paragraph" w:styleId="Sprechblasentext">
    <w:name w:val="Balloon Text"/>
    <w:basedOn w:val="Standard"/>
    <w:link w:val="SprechblasentextZchn"/>
    <w:semiHidden/>
    <w:rsid w:val="003F7ECD"/>
    <w:rPr>
      <w:rFonts w:ascii="Tahoma" w:hAnsi="Tahoma" w:cs="Tahoma"/>
      <w:sz w:val="16"/>
      <w:szCs w:val="16"/>
    </w:rPr>
  </w:style>
  <w:style w:type="character" w:customStyle="1" w:styleId="SprechblasentextZchn">
    <w:name w:val="Sprechblasentext Zchn"/>
    <w:basedOn w:val="Absatz-Standardschriftart"/>
    <w:link w:val="Sprechblasentext"/>
    <w:semiHidden/>
    <w:rsid w:val="003F7ECD"/>
    <w:rPr>
      <w:rFonts w:ascii="Tahoma" w:eastAsia="Times New Roman" w:hAnsi="Tahoma" w:cs="Tahoma"/>
      <w:sz w:val="16"/>
      <w:szCs w:val="16"/>
      <w:lang w:val="de-DE" w:eastAsia="de-DE"/>
    </w:rPr>
  </w:style>
  <w:style w:type="paragraph" w:customStyle="1" w:styleId="Tabellenberschrift">
    <w:name w:val="Tabellenüberschrift"/>
    <w:basedOn w:val="Standard"/>
    <w:rsid w:val="003F7ECD"/>
    <w:pPr>
      <w:tabs>
        <w:tab w:val="left" w:pos="851"/>
      </w:tabs>
      <w:spacing w:before="360"/>
      <w:ind w:left="851" w:hanging="851"/>
    </w:pPr>
  </w:style>
  <w:style w:type="paragraph" w:customStyle="1" w:styleId="SZusammenfassung">
    <w:name w:val="ÜSZusammenfassung"/>
    <w:basedOn w:val="berschrift1"/>
    <w:rsid w:val="003F7ECD"/>
    <w:pPr>
      <w:outlineLvl w:val="9"/>
    </w:pPr>
  </w:style>
  <w:style w:type="paragraph" w:styleId="Titel">
    <w:name w:val="Title"/>
    <w:basedOn w:val="Standard"/>
    <w:next w:val="Standard"/>
    <w:link w:val="TitelZchn"/>
    <w:uiPriority w:val="10"/>
    <w:qFormat/>
    <w:rsid w:val="003F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F7ECD"/>
    <w:rPr>
      <w:rFonts w:asciiTheme="majorHAnsi" w:eastAsiaTheme="majorEastAsia" w:hAnsiTheme="majorHAnsi" w:cstheme="majorBidi"/>
      <w:color w:val="17365D" w:themeColor="text2" w:themeShade="BF"/>
      <w:spacing w:val="5"/>
      <w:kern w:val="28"/>
      <w:sz w:val="52"/>
      <w:szCs w:val="52"/>
      <w:lang w:val="de-DE" w:eastAsia="de-DE"/>
    </w:rPr>
  </w:style>
  <w:style w:type="paragraph" w:styleId="Listenabsatz">
    <w:name w:val="List Paragraph"/>
    <w:basedOn w:val="Standard"/>
    <w:uiPriority w:val="34"/>
    <w:qFormat/>
    <w:rsid w:val="000E7D2E"/>
    <w:pPr>
      <w:ind w:left="720"/>
      <w:contextualSpacing/>
    </w:pPr>
  </w:style>
  <w:style w:type="table" w:styleId="Tabellengitternetz">
    <w:name w:val="Table Grid"/>
    <w:basedOn w:val="NormaleTabelle"/>
    <w:uiPriority w:val="59"/>
    <w:rsid w:val="00F36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a\AppData\Local\Microsoft\Windows\Temporary%20Internet%20Files\Content.IE5\DSGN8O7H\wirtschaftsPublikation_unterrichtsbeispiele_vorlage0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E77C-E0D0-4144-A2EB-EBA818A0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wirtschaftsPublikation_unterrichtsbeispiele_vorlage06</Template>
  <TotalTime>0</TotalTime>
  <Pages>5</Pages>
  <Words>1408</Words>
  <Characters>8874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Romana</cp:lastModifiedBy>
  <cp:revision>31</cp:revision>
  <cp:lastPrinted>2013-06-13T07:33:00Z</cp:lastPrinted>
  <dcterms:created xsi:type="dcterms:W3CDTF">2013-09-14T18:00:00Z</dcterms:created>
  <dcterms:modified xsi:type="dcterms:W3CDTF">2013-12-15T10:56:00Z</dcterms:modified>
</cp:coreProperties>
</file>