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02EFF2" w14:textId="216A58E9" w:rsidR="00DE79CA" w:rsidRDefault="00DE79CA" w:rsidP="005E1415">
      <w:pPr>
        <w:pStyle w:val="p1"/>
        <w:jc w:val="center"/>
        <w:rPr>
          <w:rStyle w:val="s1"/>
          <w:rFonts w:ascii="Calibri" w:hAnsi="Calibri"/>
        </w:rPr>
      </w:pPr>
      <w:r w:rsidRPr="00D87551">
        <w:rPr>
          <w:rStyle w:val="s1"/>
          <w:rFonts w:ascii="Calibri" w:hAnsi="Calibri"/>
        </w:rPr>
        <w:t>Persönliches Resümee zu zwei Arbeitsstationen im iDEAS:lab</w:t>
      </w:r>
    </w:p>
    <w:p w14:paraId="747F9279" w14:textId="77777777" w:rsidR="005E1415" w:rsidRPr="00D87551" w:rsidRDefault="005E1415" w:rsidP="005E1415">
      <w:pPr>
        <w:pStyle w:val="p1"/>
        <w:jc w:val="center"/>
        <w:rPr>
          <w:rFonts w:ascii="Calibri" w:hAnsi="Calibri"/>
        </w:rPr>
      </w:pPr>
    </w:p>
    <w:p w14:paraId="5F92A40B" w14:textId="1F58DFDB" w:rsidR="00DE79CA" w:rsidRPr="005E1415" w:rsidRDefault="00DE79CA" w:rsidP="005E1415">
      <w:pPr>
        <w:pStyle w:val="p3"/>
        <w:jc w:val="both"/>
        <w:rPr>
          <w:rFonts w:ascii="Calibri" w:hAnsi="Calibri"/>
          <w:sz w:val="20"/>
          <w:szCs w:val="20"/>
        </w:rPr>
      </w:pPr>
      <w:r w:rsidRPr="005E1415">
        <w:rPr>
          <w:rStyle w:val="s2"/>
          <w:rFonts w:ascii="Calibri" w:hAnsi="Calibri"/>
          <w:sz w:val="20"/>
          <w:szCs w:val="20"/>
        </w:rPr>
        <w:t>Der Besuch im iDEAS:lab bot eine spannende Auseinandersetzung mit innovativen Technologien, die unsere Wahrnehmung von Realität und Virtualität erweitern. Besonders beeindruckend fand ich die Stationen zu Augmented und Virtual Reality sowie die interaktive Sandkiste mit Höhenprofilgenerierung.</w:t>
      </w:r>
    </w:p>
    <w:p w14:paraId="432DC020" w14:textId="2F9092E6" w:rsidR="00DE79CA" w:rsidRPr="005E1415" w:rsidRDefault="00DE79CA" w:rsidP="005E1415">
      <w:pPr>
        <w:pStyle w:val="p3"/>
        <w:jc w:val="both"/>
        <w:rPr>
          <w:rFonts w:ascii="Calibri" w:hAnsi="Calibri"/>
          <w:b/>
          <w:bCs/>
          <w:sz w:val="20"/>
          <w:szCs w:val="20"/>
        </w:rPr>
      </w:pPr>
      <w:r w:rsidRPr="005E1415">
        <w:rPr>
          <w:rStyle w:val="s3"/>
          <w:rFonts w:ascii="Calibri" w:hAnsi="Calibri"/>
          <w:b/>
          <w:bCs/>
          <w:sz w:val="20"/>
          <w:szCs w:val="20"/>
        </w:rPr>
        <w:t>1. Augmented &amp; Virtual Reality</w:t>
      </w:r>
    </w:p>
    <w:p w14:paraId="53E54115" w14:textId="58606030" w:rsidR="00DE79CA" w:rsidRPr="005E1415" w:rsidRDefault="00DE79CA" w:rsidP="005E1415">
      <w:pPr>
        <w:pStyle w:val="p3"/>
        <w:jc w:val="both"/>
        <w:rPr>
          <w:rFonts w:ascii="Calibri" w:hAnsi="Calibri"/>
          <w:sz w:val="20"/>
          <w:szCs w:val="20"/>
        </w:rPr>
      </w:pPr>
      <w:r w:rsidRPr="005E1415">
        <w:rPr>
          <w:rStyle w:val="s2"/>
          <w:rFonts w:ascii="Calibri" w:hAnsi="Calibri"/>
          <w:sz w:val="20"/>
          <w:szCs w:val="20"/>
        </w:rPr>
        <w:t>An dieser Station wurden die Unterschiede zwischen Realität, Augmented Reality (AR), Augmented Virtuality (AV) und Virtual Reality (VR) erklärt. Besonders faszinierend war der Einsatz von VR-Headsets, mit denen die physische Welt vollständig ausgeblendet wird und man sich in einer vollständig virtuellen Umgebung bewegt. Dabei wurde deutlich, wie vielseitig diese Technologien einsetzbar sind – von Computerspielen über interaktive Lernmethoden bis hin zu realitätsnahen Trainingssimulationen.</w:t>
      </w:r>
    </w:p>
    <w:p w14:paraId="1CFEB413" w14:textId="77777777" w:rsidR="00DE79CA" w:rsidRPr="005E1415" w:rsidRDefault="00DE79CA" w:rsidP="005E1415">
      <w:pPr>
        <w:pStyle w:val="p3"/>
        <w:jc w:val="both"/>
        <w:rPr>
          <w:rFonts w:ascii="Calibri" w:hAnsi="Calibri"/>
          <w:b/>
          <w:bCs/>
          <w:sz w:val="20"/>
          <w:szCs w:val="20"/>
        </w:rPr>
      </w:pPr>
      <w:r w:rsidRPr="005E1415">
        <w:rPr>
          <w:rStyle w:val="s4"/>
          <w:rFonts w:ascii="Calibri" w:hAnsi="Calibri"/>
          <w:b/>
          <w:bCs/>
          <w:sz w:val="20"/>
          <w:szCs w:val="20"/>
        </w:rPr>
        <w:t>Gesellschafts- und Unterrichtsrelevanz:</w:t>
      </w:r>
    </w:p>
    <w:p w14:paraId="596E4AA6" w14:textId="4B1A66C5" w:rsidR="00DE79CA" w:rsidRPr="005E1415" w:rsidRDefault="00DE79CA" w:rsidP="005E1415">
      <w:pPr>
        <w:pStyle w:val="p3"/>
        <w:jc w:val="both"/>
        <w:rPr>
          <w:rFonts w:ascii="Calibri" w:hAnsi="Calibri"/>
          <w:sz w:val="20"/>
          <w:szCs w:val="20"/>
        </w:rPr>
      </w:pPr>
      <w:r w:rsidRPr="005E1415">
        <w:rPr>
          <w:rStyle w:val="s2"/>
          <w:rFonts w:ascii="Calibri" w:hAnsi="Calibri"/>
          <w:sz w:val="20"/>
          <w:szCs w:val="20"/>
        </w:rPr>
        <w:t>Die zunehmende Verschmelzung von realer und virtueller Welt verändert viele Bereiche des Alltags. In der Bildung eröffnet AR und VR völlig neue Möglichkeiten: Historische Ereignisse können immersiv erlebt, komplexe naturwissenschaftliche Prozesse dreidimensional erkundet oder geografische Räume virtuell bereist werden. Besonders in der Geografie bietet sich der Einsatz solcher Technologien an, um abstrakte Konzepte greifbarer zu machen. Allerdings sind Kosten und technische Voraussetzungen eine Herausforderung, weshalb der Einsatz wohl zunächst auf spezialisierte Bildungsräume oder Universitäten beschränkt bleibt.</w:t>
      </w:r>
    </w:p>
    <w:p w14:paraId="700F55E6" w14:textId="0456FB17" w:rsidR="00DE79CA" w:rsidRPr="005E1415" w:rsidRDefault="00DE79CA" w:rsidP="005E1415">
      <w:pPr>
        <w:pStyle w:val="p3"/>
        <w:jc w:val="both"/>
        <w:rPr>
          <w:rFonts w:ascii="Calibri" w:hAnsi="Calibri"/>
          <w:b/>
          <w:bCs/>
          <w:sz w:val="20"/>
          <w:szCs w:val="20"/>
        </w:rPr>
      </w:pPr>
      <w:r w:rsidRPr="005E1415">
        <w:rPr>
          <w:rStyle w:val="s3"/>
          <w:rFonts w:ascii="Calibri" w:hAnsi="Calibri"/>
          <w:b/>
          <w:bCs/>
          <w:sz w:val="20"/>
          <w:szCs w:val="20"/>
        </w:rPr>
        <w:t>2. Interaktive Sandkiste mit Höhenprofilgenerierung</w:t>
      </w:r>
    </w:p>
    <w:p w14:paraId="3CB240B2" w14:textId="17EB592E" w:rsidR="00DE79CA" w:rsidRPr="005E1415" w:rsidRDefault="00DE79CA" w:rsidP="005E1415">
      <w:pPr>
        <w:pStyle w:val="p3"/>
        <w:jc w:val="both"/>
        <w:rPr>
          <w:rFonts w:ascii="Calibri" w:hAnsi="Calibri"/>
          <w:sz w:val="20"/>
          <w:szCs w:val="20"/>
        </w:rPr>
      </w:pPr>
      <w:r w:rsidRPr="005E1415">
        <w:rPr>
          <w:rStyle w:val="s2"/>
          <w:rFonts w:ascii="Calibri" w:hAnsi="Calibri"/>
          <w:sz w:val="20"/>
          <w:szCs w:val="20"/>
        </w:rPr>
        <w:t>Eine weitere Station war die interaktive Sandkiste, bei der das Verschieben von Sand in Echtzeit ein Höhenprofil erzeugte. Mithilfe eines Beamers wurden verschiedene Höhenniveaus farblich visualisiert, wodurch ein topografisches Modell entstand. Diese Art der interaktiven Visualisierung ermöglicht es, Konzepte wie Höhenlinien, Wassereinzugsgebiete oder Erosionsprozesse spielerisch zu vermitteln.</w:t>
      </w:r>
    </w:p>
    <w:p w14:paraId="1D68B1E6" w14:textId="77777777" w:rsidR="00DE79CA" w:rsidRPr="005E1415" w:rsidRDefault="00DE79CA" w:rsidP="005E1415">
      <w:pPr>
        <w:pStyle w:val="p3"/>
        <w:jc w:val="both"/>
        <w:rPr>
          <w:rFonts w:ascii="Calibri" w:hAnsi="Calibri"/>
          <w:b/>
          <w:bCs/>
          <w:sz w:val="20"/>
          <w:szCs w:val="20"/>
        </w:rPr>
      </w:pPr>
      <w:r w:rsidRPr="005E1415">
        <w:rPr>
          <w:rStyle w:val="s4"/>
          <w:rFonts w:ascii="Calibri" w:hAnsi="Calibri"/>
          <w:b/>
          <w:bCs/>
          <w:sz w:val="20"/>
          <w:szCs w:val="20"/>
        </w:rPr>
        <w:t>Gesellschafts- und Unterrichtsrelevanz:</w:t>
      </w:r>
    </w:p>
    <w:p w14:paraId="547D9819" w14:textId="77777777" w:rsidR="00DE79CA" w:rsidRPr="005E1415" w:rsidRDefault="00DE79CA" w:rsidP="005E1415">
      <w:pPr>
        <w:pStyle w:val="p3"/>
        <w:jc w:val="both"/>
        <w:rPr>
          <w:rFonts w:ascii="Calibri" w:hAnsi="Calibri"/>
          <w:sz w:val="20"/>
          <w:szCs w:val="20"/>
        </w:rPr>
      </w:pPr>
      <w:r w:rsidRPr="005E1415">
        <w:rPr>
          <w:rStyle w:val="s2"/>
          <w:rFonts w:ascii="Calibri" w:hAnsi="Calibri"/>
          <w:sz w:val="20"/>
          <w:szCs w:val="20"/>
        </w:rPr>
        <w:t>Besonders für den Geografieunterricht ist diese Technologie äußerst wertvoll, da sie komplexe topografische Prozesse verständlich und erfahrbar macht. Schüler:innen können aktiv experimentieren, anstatt nur statische Karten oder Diagramme zu betrachten. Dies fördert ein tieferes Verständnis für geographische Prozesse und macht den Unterricht lebendiger. In einem größeren gesellschaftlichen Kontext könnte eine Weiterentwicklung solcher interaktiven Modelle auch in der Stadtplanung oder Umweltforschung Anwendung finden, indem sie reale Geländeveränderungen simulieren und analysieren.</w:t>
      </w:r>
    </w:p>
    <w:p w14:paraId="797712C4" w14:textId="77777777" w:rsidR="00975F20" w:rsidRPr="005E1415" w:rsidRDefault="00DE79CA" w:rsidP="005E1415">
      <w:pPr>
        <w:pStyle w:val="p1"/>
        <w:jc w:val="both"/>
        <w:rPr>
          <w:rStyle w:val="s1"/>
          <w:rFonts w:ascii="Calibri" w:hAnsi="Calibri"/>
          <w:b/>
          <w:bCs/>
          <w:sz w:val="20"/>
          <w:szCs w:val="20"/>
        </w:rPr>
      </w:pPr>
      <w:r w:rsidRPr="005E1415">
        <w:rPr>
          <w:rStyle w:val="s1"/>
          <w:rFonts w:ascii="Calibri" w:hAnsi="Calibri"/>
          <w:b/>
          <w:bCs/>
          <w:sz w:val="20"/>
          <w:szCs w:val="20"/>
        </w:rPr>
        <w:t>Fazit</w:t>
      </w:r>
    </w:p>
    <w:p w14:paraId="6FF97707" w14:textId="54270EFE" w:rsidR="00DE79CA" w:rsidRPr="005E1415" w:rsidRDefault="00DE79CA" w:rsidP="005E1415">
      <w:pPr>
        <w:pStyle w:val="p1"/>
        <w:jc w:val="both"/>
        <w:rPr>
          <w:rFonts w:ascii="Calibri" w:hAnsi="Calibri"/>
          <w:b/>
          <w:bCs/>
          <w:sz w:val="20"/>
          <w:szCs w:val="20"/>
        </w:rPr>
      </w:pPr>
      <w:r w:rsidRPr="005E1415">
        <w:rPr>
          <w:rStyle w:val="s2"/>
          <w:rFonts w:ascii="Calibri" w:hAnsi="Calibri"/>
          <w:sz w:val="20"/>
          <w:szCs w:val="20"/>
        </w:rPr>
        <w:t>Beide Stationen haben eindrucksvoll gezeigt, wie moderne Technologien Wissen anschaulich vermitteln können. Während VR und AR weitreichende Potenziale für immersive Lernumgebungen bieten, zeigt die interaktive Sandkiste, wie physische und digitale Elemente kombiniert werden können, um abstrakte Konzepte greifbarer zu machen. Gerade für den Geografieunterricht bieten diese Technologien spannende Perspektiven, auch wenn ihre breite Integration noch von technischen und finanziellen Faktoren abhängt.</w:t>
      </w:r>
    </w:p>
    <w:p w14:paraId="62F43ACB" w14:textId="50583A42" w:rsidR="009B6138" w:rsidRDefault="009B6138"/>
    <w:sectPr w:rsidR="009B613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8"/>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138"/>
    <w:rsid w:val="005E1415"/>
    <w:rsid w:val="00975F20"/>
    <w:rsid w:val="009B6138"/>
    <w:rsid w:val="009F0410"/>
    <w:rsid w:val="00C75E22"/>
    <w:rsid w:val="00D87551"/>
    <w:rsid w:val="00DE79CA"/>
    <w:rsid w:val="00F475EC"/>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4:docId w14:val="585089C4"/>
  <w15:chartTrackingRefBased/>
  <w15:docId w15:val="{36224A8F-1C3E-7F4C-884C-933EA4B4AE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de-AT" w:eastAsia="de-D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9B613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9B613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9B6138"/>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9B6138"/>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9B6138"/>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9B6138"/>
    <w:pPr>
      <w:keepNext/>
      <w:keepLines/>
      <w:spacing w:before="40" w:after="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9B6138"/>
    <w:pPr>
      <w:keepNext/>
      <w:keepLines/>
      <w:spacing w:before="40" w:after="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9B6138"/>
    <w:pPr>
      <w:keepNext/>
      <w:keepLines/>
      <w:spacing w:after="0"/>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9B6138"/>
    <w:pPr>
      <w:keepNext/>
      <w:keepLines/>
      <w:spacing w:after="0"/>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9B6138"/>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9B6138"/>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9B6138"/>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9B6138"/>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9B6138"/>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9B6138"/>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9B6138"/>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9B6138"/>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9B6138"/>
    <w:rPr>
      <w:rFonts w:eastAsiaTheme="majorEastAsia" w:cstheme="majorBidi"/>
      <w:color w:val="272727" w:themeColor="text1" w:themeTint="D8"/>
    </w:rPr>
  </w:style>
  <w:style w:type="paragraph" w:styleId="Titel">
    <w:name w:val="Title"/>
    <w:basedOn w:val="Standard"/>
    <w:next w:val="Standard"/>
    <w:link w:val="TitelZchn"/>
    <w:uiPriority w:val="10"/>
    <w:qFormat/>
    <w:rsid w:val="009B613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9B6138"/>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9B6138"/>
    <w:pPr>
      <w:numPr>
        <w:ilvl w:val="1"/>
      </w:numPr>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9B6138"/>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9B6138"/>
    <w:pPr>
      <w:spacing w:before="160"/>
      <w:jc w:val="center"/>
    </w:pPr>
    <w:rPr>
      <w:i/>
      <w:iCs/>
      <w:color w:val="404040" w:themeColor="text1" w:themeTint="BF"/>
    </w:rPr>
  </w:style>
  <w:style w:type="character" w:customStyle="1" w:styleId="ZitatZchn">
    <w:name w:val="Zitat Zchn"/>
    <w:basedOn w:val="Absatz-Standardschriftart"/>
    <w:link w:val="Zitat"/>
    <w:uiPriority w:val="29"/>
    <w:rsid w:val="009B6138"/>
    <w:rPr>
      <w:i/>
      <w:iCs/>
      <w:color w:val="404040" w:themeColor="text1" w:themeTint="BF"/>
    </w:rPr>
  </w:style>
  <w:style w:type="paragraph" w:styleId="Listenabsatz">
    <w:name w:val="List Paragraph"/>
    <w:basedOn w:val="Standard"/>
    <w:uiPriority w:val="34"/>
    <w:qFormat/>
    <w:rsid w:val="009B6138"/>
    <w:pPr>
      <w:ind w:left="720"/>
      <w:contextualSpacing/>
    </w:pPr>
  </w:style>
  <w:style w:type="character" w:styleId="IntensiveHervorhebung">
    <w:name w:val="Intense Emphasis"/>
    <w:basedOn w:val="Absatz-Standardschriftart"/>
    <w:uiPriority w:val="21"/>
    <w:qFormat/>
    <w:rsid w:val="009B6138"/>
    <w:rPr>
      <w:i/>
      <w:iCs/>
      <w:color w:val="0F4761" w:themeColor="accent1" w:themeShade="BF"/>
    </w:rPr>
  </w:style>
  <w:style w:type="paragraph" w:styleId="IntensivesZitat">
    <w:name w:val="Intense Quote"/>
    <w:basedOn w:val="Standard"/>
    <w:next w:val="Standard"/>
    <w:link w:val="IntensivesZitatZchn"/>
    <w:uiPriority w:val="30"/>
    <w:qFormat/>
    <w:rsid w:val="009B613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9B6138"/>
    <w:rPr>
      <w:i/>
      <w:iCs/>
      <w:color w:val="0F4761" w:themeColor="accent1" w:themeShade="BF"/>
    </w:rPr>
  </w:style>
  <w:style w:type="character" w:styleId="IntensiverVerweis">
    <w:name w:val="Intense Reference"/>
    <w:basedOn w:val="Absatz-Standardschriftart"/>
    <w:uiPriority w:val="32"/>
    <w:qFormat/>
    <w:rsid w:val="009B6138"/>
    <w:rPr>
      <w:b/>
      <w:bCs/>
      <w:smallCaps/>
      <w:color w:val="0F4761" w:themeColor="accent1" w:themeShade="BF"/>
      <w:spacing w:val="5"/>
    </w:rPr>
  </w:style>
  <w:style w:type="paragraph" w:customStyle="1" w:styleId="p1">
    <w:name w:val="p1"/>
    <w:basedOn w:val="Standard"/>
    <w:rsid w:val="00DE79CA"/>
    <w:pPr>
      <w:spacing w:before="100" w:beforeAutospacing="1" w:after="100" w:afterAutospacing="1" w:line="240" w:lineRule="auto"/>
    </w:pPr>
    <w:rPr>
      <w:rFonts w:ascii="Times New Roman" w:hAnsi="Times New Roman" w:cs="Times New Roman"/>
      <w:kern w:val="0"/>
      <w14:ligatures w14:val="none"/>
    </w:rPr>
  </w:style>
  <w:style w:type="character" w:customStyle="1" w:styleId="s1">
    <w:name w:val="s1"/>
    <w:basedOn w:val="Absatz-Standardschriftart"/>
    <w:rsid w:val="00DE79CA"/>
  </w:style>
  <w:style w:type="paragraph" w:customStyle="1" w:styleId="p2">
    <w:name w:val="p2"/>
    <w:basedOn w:val="Standard"/>
    <w:rsid w:val="00DE79CA"/>
    <w:pPr>
      <w:spacing w:before="100" w:beforeAutospacing="1" w:after="100" w:afterAutospacing="1" w:line="240" w:lineRule="auto"/>
    </w:pPr>
    <w:rPr>
      <w:rFonts w:ascii="Times New Roman" w:hAnsi="Times New Roman" w:cs="Times New Roman"/>
      <w:kern w:val="0"/>
      <w14:ligatures w14:val="none"/>
    </w:rPr>
  </w:style>
  <w:style w:type="character" w:customStyle="1" w:styleId="s2">
    <w:name w:val="s2"/>
    <w:basedOn w:val="Absatz-Standardschriftart"/>
    <w:rsid w:val="00DE79CA"/>
  </w:style>
  <w:style w:type="paragraph" w:customStyle="1" w:styleId="p3">
    <w:name w:val="p3"/>
    <w:basedOn w:val="Standard"/>
    <w:rsid w:val="00DE79CA"/>
    <w:pPr>
      <w:spacing w:before="100" w:beforeAutospacing="1" w:after="100" w:afterAutospacing="1" w:line="240" w:lineRule="auto"/>
    </w:pPr>
    <w:rPr>
      <w:rFonts w:ascii="Times New Roman" w:hAnsi="Times New Roman" w:cs="Times New Roman"/>
      <w:kern w:val="0"/>
      <w14:ligatures w14:val="none"/>
    </w:rPr>
  </w:style>
  <w:style w:type="character" w:customStyle="1" w:styleId="s3">
    <w:name w:val="s3"/>
    <w:basedOn w:val="Absatz-Standardschriftart"/>
    <w:rsid w:val="00DE79CA"/>
  </w:style>
  <w:style w:type="character" w:customStyle="1" w:styleId="s4">
    <w:name w:val="s4"/>
    <w:basedOn w:val="Absatz-Standardschriftart"/>
    <w:rsid w:val="00DE79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2703</Characters>
  <Application>Microsoft Office Word</Application>
  <DocSecurity>0</DocSecurity>
  <Lines>22</Lines>
  <Paragraphs>6</Paragraphs>
  <ScaleCrop>false</ScaleCrop>
  <Company/>
  <LinksUpToDate>false</LinksUpToDate>
  <CharactersWithSpaces>3126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Kilian Jung</dc:creator>
  <cp:keywords/>
  <dc:description/>
  <cp:lastModifiedBy>Kilian Jung</cp:lastModifiedBy>
  <cp:revision>6</cp:revision>
  <dcterms:created xsi:type="dcterms:W3CDTF">2025-02-11T11:15:00Z</dcterms:created>
  <dcterms:modified xsi:type="dcterms:W3CDTF">2025-02-11T12:17:00Z</dcterms:modified>
</cp:coreProperties>
</file>