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1CFA" w14:textId="52AD064E" w:rsidR="009A362C" w:rsidRPr="003F3B01" w:rsidRDefault="003F3B01">
      <w:pPr>
        <w:rPr>
          <w:b/>
          <w:bCs/>
          <w:color w:val="E97132" w:themeColor="accent2"/>
          <w:sz w:val="48"/>
          <w:szCs w:val="48"/>
        </w:rPr>
      </w:pPr>
      <w:r w:rsidRPr="003F3B01">
        <w:rPr>
          <w:b/>
          <w:bCs/>
          <w:color w:val="E97132" w:themeColor="accent2"/>
          <w:sz w:val="48"/>
          <w:szCs w:val="48"/>
        </w:rPr>
        <w:t>Unterricht konkret - Ablauf</w:t>
      </w:r>
    </w:p>
    <w:p w14:paraId="7C4F93D7" w14:textId="7E8C54F1" w:rsidR="009A362C" w:rsidRPr="00756927" w:rsidRDefault="009A362C" w:rsidP="003F3B01">
      <w:pPr>
        <w:pStyle w:val="Listenabsatz"/>
        <w:numPr>
          <w:ilvl w:val="0"/>
          <w:numId w:val="1"/>
        </w:numPr>
        <w:shd w:val="clear" w:color="auto" w:fill="E97132" w:themeFill="accent2"/>
        <w:rPr>
          <w:color w:val="FFFFFF" w:themeColor="background1"/>
          <w:sz w:val="36"/>
          <w:szCs w:val="36"/>
        </w:rPr>
      </w:pPr>
      <w:r w:rsidRPr="00756927">
        <w:rPr>
          <w:color w:val="FFFFFF" w:themeColor="background1"/>
          <w:sz w:val="36"/>
          <w:szCs w:val="36"/>
        </w:rPr>
        <w:t>Einheit: Geldpolitik betrifft uns alle</w:t>
      </w:r>
    </w:p>
    <w:tbl>
      <w:tblPr>
        <w:tblStyle w:val="Tabellenraster"/>
        <w:tblW w:w="0" w:type="auto"/>
        <w:tblLook w:val="04A0" w:firstRow="1" w:lastRow="0" w:firstColumn="1" w:lastColumn="0" w:noHBand="0" w:noVBand="1"/>
      </w:tblPr>
      <w:tblGrid>
        <w:gridCol w:w="677"/>
        <w:gridCol w:w="2024"/>
        <w:gridCol w:w="6650"/>
        <w:gridCol w:w="4073"/>
        <w:gridCol w:w="853"/>
      </w:tblGrid>
      <w:tr w:rsidR="005102A7" w14:paraId="1AB8BB57" w14:textId="77777777" w:rsidTr="00C1146F">
        <w:trPr>
          <w:cantSplit/>
          <w:trHeight w:val="4074"/>
        </w:trPr>
        <w:tc>
          <w:tcPr>
            <w:tcW w:w="677" w:type="dxa"/>
            <w:shd w:val="clear" w:color="auto" w:fill="E97132" w:themeFill="accent2"/>
            <w:textDirection w:val="btLr"/>
          </w:tcPr>
          <w:p w14:paraId="7BEB9B76" w14:textId="62BB12C9" w:rsidR="0075320E" w:rsidRPr="003F3B01" w:rsidRDefault="0075320E" w:rsidP="0075320E">
            <w:pPr>
              <w:ind w:left="113" w:right="113"/>
              <w:rPr>
                <w:b/>
                <w:bCs/>
                <w:color w:val="FFFFFF" w:themeColor="background1"/>
                <w:sz w:val="32"/>
                <w:szCs w:val="32"/>
              </w:rPr>
            </w:pPr>
            <w:r w:rsidRPr="003F3B01">
              <w:rPr>
                <w:b/>
                <w:bCs/>
                <w:color w:val="FFFFFF" w:themeColor="background1"/>
                <w:sz w:val="32"/>
                <w:szCs w:val="32"/>
              </w:rPr>
              <w:t>Einstieg</w:t>
            </w:r>
            <w:r w:rsidR="00234B72">
              <w:rPr>
                <w:b/>
                <w:bCs/>
                <w:color w:val="FFFFFF" w:themeColor="background1"/>
                <w:sz w:val="32"/>
                <w:szCs w:val="32"/>
              </w:rPr>
              <w:t xml:space="preserve"> + Erarbeitung</w:t>
            </w:r>
          </w:p>
        </w:tc>
        <w:tc>
          <w:tcPr>
            <w:tcW w:w="2024" w:type="dxa"/>
            <w:textDirection w:val="btLr"/>
          </w:tcPr>
          <w:p w14:paraId="18B7FBF9" w14:textId="5D985E94" w:rsidR="0075320E" w:rsidRPr="003F3B01" w:rsidRDefault="003F3B01" w:rsidP="003F3B01">
            <w:pPr>
              <w:ind w:left="113" w:right="113"/>
              <w:jc w:val="center"/>
              <w:rPr>
                <w:color w:val="E97132" w:themeColor="accent2"/>
                <w:sz w:val="48"/>
                <w:szCs w:val="48"/>
              </w:rPr>
            </w:pPr>
            <w:r w:rsidRPr="003F3B01">
              <w:rPr>
                <w:color w:val="E97132" w:themeColor="accent2"/>
                <w:sz w:val="48"/>
                <w:szCs w:val="48"/>
              </w:rPr>
              <w:t>1 - Kaufkraftrechner</w:t>
            </w:r>
          </w:p>
        </w:tc>
        <w:tc>
          <w:tcPr>
            <w:tcW w:w="6650" w:type="dxa"/>
          </w:tcPr>
          <w:p w14:paraId="654A4DE8" w14:textId="62C08D85" w:rsidR="0075320E" w:rsidRPr="00A6657B" w:rsidRDefault="00A6657B" w:rsidP="00A6657B">
            <w:r w:rsidRPr="00A6657B">
              <w:t>Die Schüler</w:t>
            </w:r>
            <w:r>
              <w:t>*</w:t>
            </w:r>
            <w:r w:rsidRPr="00A6657B">
              <w:t>innen beginnen den Kurs, indem sie die Einleitung und Lernziele lesen. Anschließend bearbeiten sie die Aufgaben der Reihe nach. Zunächst sehen sie sich ein Erklärvideo zum Kaufkraftrechner an und wenden das Gelernte in Aufgabe 1.1 an. In Aufgabe 1.2 beurteilen sie die Auswirkungen einer geringeren Preissteigerung eines Produkts im Vergleich zur Gesamtinflation auf die Produzent</w:t>
            </w:r>
            <w:r w:rsidRPr="00A6657B">
              <w:t>innen. Danach analysieren sie in Aufgabe 1.3, welche Produkte stärkere oder schwächere Preissteigerungen zeigen und wie sich diese im Vergleich zur Gesamtinflation entwickelt haben. Abschließend diskutieren sie im Klassenverband, ob das durchschnittliche Einkommen und die Kaufkraftentwicklung geeignete Indikatoren für die Lebensqualität sind und welche Einschränkungen dabei berücksichtigt werden müssen.</w:t>
            </w:r>
          </w:p>
        </w:tc>
        <w:tc>
          <w:tcPr>
            <w:tcW w:w="4073" w:type="dxa"/>
          </w:tcPr>
          <w:p w14:paraId="0AB3BFCB" w14:textId="77777777" w:rsidR="00C1146F" w:rsidRDefault="00C1146F" w:rsidP="00234B72">
            <w:pPr>
              <w:jc w:val="center"/>
              <w:rPr>
                <w:b/>
                <w:bCs/>
              </w:rPr>
            </w:pPr>
          </w:p>
          <w:p w14:paraId="4381C2D8" w14:textId="166DBB36" w:rsidR="0075320E" w:rsidRPr="004C40D9" w:rsidRDefault="003F3B01" w:rsidP="00234B72">
            <w:pPr>
              <w:jc w:val="center"/>
              <w:rPr>
                <w:b/>
                <w:bCs/>
                <w:color w:val="000000" w:themeColor="text1"/>
                <w:sz w:val="11"/>
                <w:szCs w:val="11"/>
              </w:rPr>
            </w:pPr>
            <w:r w:rsidRPr="004C40D9">
              <w:rPr>
                <w:b/>
                <w:bCs/>
              </w:rPr>
              <w:t>Erklärvideo</w:t>
            </w:r>
            <w:r w:rsidR="002578E4" w:rsidRPr="004C40D9">
              <w:rPr>
                <w:b/>
                <w:bCs/>
              </w:rPr>
              <w:t xml:space="preserve"> + </w:t>
            </w:r>
            <w:r w:rsidR="002578E4" w:rsidRPr="004C40D9">
              <w:rPr>
                <w:b/>
                <w:bCs/>
                <w:color w:val="000000" w:themeColor="text1"/>
              </w:rPr>
              <w:t>Kaufkraftrechner</w:t>
            </w:r>
            <w:r w:rsidR="004C40D9" w:rsidRPr="004C40D9">
              <w:rPr>
                <w:b/>
                <w:bCs/>
                <w:color w:val="000000" w:themeColor="text1"/>
              </w:rPr>
              <w:t xml:space="preserve"> </w:t>
            </w:r>
            <w:r w:rsidR="004C40D9" w:rsidRPr="004C40D9">
              <w:rPr>
                <w:b/>
                <w:bCs/>
                <w:color w:val="000000" w:themeColor="text1"/>
                <w:sz w:val="11"/>
                <w:szCs w:val="11"/>
              </w:rPr>
              <w:t xml:space="preserve">(URL: </w:t>
            </w:r>
            <w:hyperlink r:id="rId8" w:history="1">
              <w:r w:rsidR="004C40D9" w:rsidRPr="004C40D9">
                <w:rPr>
                  <w:rStyle w:val="Hyperlink"/>
                  <w:b/>
                  <w:bCs/>
                  <w:color w:val="000000" w:themeColor="text1"/>
                  <w:sz w:val="11"/>
                  <w:szCs w:val="11"/>
                  <w:u w:val="none"/>
                </w:rPr>
                <w:t>https://finanzbildung.oenb.at/docroot/kaufkraftrechner/#/</w:t>
              </w:r>
            </w:hyperlink>
            <w:r w:rsidR="004C40D9" w:rsidRPr="004C40D9">
              <w:rPr>
                <w:b/>
                <w:bCs/>
                <w:color w:val="000000" w:themeColor="text1"/>
                <w:sz w:val="11"/>
                <w:szCs w:val="11"/>
              </w:rPr>
              <w:t>)</w:t>
            </w:r>
          </w:p>
          <w:p w14:paraId="6E9B9DF0" w14:textId="29047790" w:rsidR="004C40D9" w:rsidRPr="003F3B01" w:rsidRDefault="004C40D9" w:rsidP="00234B72">
            <w:pPr>
              <w:jc w:val="center"/>
              <w:rPr>
                <w:b/>
                <w:bCs/>
              </w:rPr>
            </w:pPr>
          </w:p>
        </w:tc>
        <w:tc>
          <w:tcPr>
            <w:tcW w:w="853" w:type="dxa"/>
          </w:tcPr>
          <w:p w14:paraId="33AED456" w14:textId="77777777" w:rsidR="00C1146F" w:rsidRDefault="00C1146F" w:rsidP="008F13B3">
            <w:pPr>
              <w:ind w:left="-52"/>
              <w:jc w:val="center"/>
            </w:pPr>
          </w:p>
          <w:p w14:paraId="6306E62A" w14:textId="350B1A27" w:rsidR="0075320E" w:rsidRDefault="008F13B3" w:rsidP="008F13B3">
            <w:pPr>
              <w:ind w:left="-52"/>
              <w:jc w:val="center"/>
            </w:pPr>
            <w:r>
              <w:t>1</w:t>
            </w:r>
            <w:r w:rsidR="00C1146F">
              <w:t>0</w:t>
            </w:r>
            <w:r>
              <w:t xml:space="preserve"> </w:t>
            </w:r>
            <w:r w:rsidR="002578E4">
              <w:t>min</w:t>
            </w:r>
          </w:p>
        </w:tc>
      </w:tr>
      <w:tr w:rsidR="005102A7" w14:paraId="344866AE" w14:textId="77777777" w:rsidTr="00C1146F">
        <w:trPr>
          <w:cantSplit/>
          <w:trHeight w:val="2506"/>
        </w:trPr>
        <w:tc>
          <w:tcPr>
            <w:tcW w:w="677" w:type="dxa"/>
            <w:shd w:val="clear" w:color="auto" w:fill="E97132" w:themeFill="accent2"/>
            <w:textDirection w:val="btLr"/>
          </w:tcPr>
          <w:p w14:paraId="3BF7C987" w14:textId="2EA9E92D" w:rsidR="0075320E" w:rsidRPr="003F3B01" w:rsidRDefault="008F13B3" w:rsidP="0075320E">
            <w:pPr>
              <w:ind w:left="113" w:right="113"/>
              <w:rPr>
                <w:b/>
                <w:bCs/>
                <w:color w:val="FFFFFF" w:themeColor="background1"/>
                <w:sz w:val="32"/>
                <w:szCs w:val="32"/>
              </w:rPr>
            </w:pPr>
            <w:r>
              <w:rPr>
                <w:b/>
                <w:bCs/>
                <w:color w:val="FFFFFF" w:themeColor="background1"/>
                <w:sz w:val="32"/>
                <w:szCs w:val="32"/>
              </w:rPr>
              <w:t>Vertiefung</w:t>
            </w:r>
          </w:p>
        </w:tc>
        <w:tc>
          <w:tcPr>
            <w:tcW w:w="2024" w:type="dxa"/>
            <w:textDirection w:val="btLr"/>
          </w:tcPr>
          <w:p w14:paraId="2BFB207A" w14:textId="550B3E95" w:rsidR="0075320E" w:rsidRPr="00234B72" w:rsidRDefault="00234B72" w:rsidP="00234B72">
            <w:pPr>
              <w:ind w:left="360" w:right="113"/>
              <w:jc w:val="center"/>
              <w:rPr>
                <w:color w:val="E97132" w:themeColor="accent2"/>
                <w:sz w:val="48"/>
                <w:szCs w:val="48"/>
              </w:rPr>
            </w:pPr>
            <w:r>
              <w:rPr>
                <w:color w:val="E97132" w:themeColor="accent2"/>
                <w:sz w:val="48"/>
                <w:szCs w:val="48"/>
              </w:rPr>
              <w:t>2 - Schlagzeilen</w:t>
            </w:r>
          </w:p>
        </w:tc>
        <w:tc>
          <w:tcPr>
            <w:tcW w:w="6650" w:type="dxa"/>
          </w:tcPr>
          <w:p w14:paraId="5C19B964" w14:textId="7DF801B4" w:rsidR="0075320E" w:rsidRDefault="004C40D9" w:rsidP="009A362C">
            <w:r>
              <w:t>Die Schüler*innen sollen das Dokument M2 öffnen und die untenstehenden Schlagzeilen analysieren. In M2 sollen sie dann allgemeine Aussagen formulieren, die man daraus zum Thema Inflation ableiten kann. Als zweite Aufgabe (2.2.) sollten allfällige Fragen, die sich aus den Schlagzeilen ergeben, gesammelt und im Laufe der Unterrichtseinheit zu beantworten versucht werden.</w:t>
            </w:r>
          </w:p>
        </w:tc>
        <w:tc>
          <w:tcPr>
            <w:tcW w:w="4073" w:type="dxa"/>
          </w:tcPr>
          <w:p w14:paraId="7A24D168" w14:textId="77777777" w:rsidR="00C1146F" w:rsidRDefault="00C1146F" w:rsidP="009A362C">
            <w:pPr>
              <w:rPr>
                <w:b/>
                <w:bCs/>
              </w:rPr>
            </w:pPr>
          </w:p>
          <w:p w14:paraId="61EA1FB2" w14:textId="2CD17290" w:rsidR="0075320E" w:rsidRPr="003F3B01" w:rsidRDefault="004C40D9" w:rsidP="009A362C">
            <w:pPr>
              <w:rPr>
                <w:b/>
                <w:bCs/>
              </w:rPr>
            </w:pPr>
            <w:r>
              <w:rPr>
                <w:b/>
                <w:bCs/>
              </w:rPr>
              <w:t>M2 – Schlagzeilen Dokument</w:t>
            </w:r>
          </w:p>
        </w:tc>
        <w:tc>
          <w:tcPr>
            <w:tcW w:w="853" w:type="dxa"/>
          </w:tcPr>
          <w:p w14:paraId="1737A034" w14:textId="77777777" w:rsidR="00C1146F" w:rsidRDefault="00C1146F" w:rsidP="008F13B3">
            <w:pPr>
              <w:ind w:left="-52"/>
              <w:jc w:val="center"/>
            </w:pPr>
          </w:p>
          <w:p w14:paraId="6DCEDEDB" w14:textId="4F589891" w:rsidR="0075320E" w:rsidRDefault="008F13B3" w:rsidP="008F13B3">
            <w:pPr>
              <w:ind w:left="-52"/>
              <w:jc w:val="center"/>
            </w:pPr>
            <w:r>
              <w:t>1</w:t>
            </w:r>
            <w:r w:rsidR="00C1146F">
              <w:t>0</w:t>
            </w:r>
            <w:r>
              <w:t xml:space="preserve"> min</w:t>
            </w:r>
          </w:p>
        </w:tc>
      </w:tr>
      <w:tr w:rsidR="005102A7" w14:paraId="6E6F49FA" w14:textId="77777777" w:rsidTr="00C1146F">
        <w:trPr>
          <w:cantSplit/>
          <w:trHeight w:val="3006"/>
        </w:trPr>
        <w:tc>
          <w:tcPr>
            <w:tcW w:w="677" w:type="dxa"/>
            <w:shd w:val="clear" w:color="auto" w:fill="E97132" w:themeFill="accent2"/>
            <w:textDirection w:val="btLr"/>
          </w:tcPr>
          <w:p w14:paraId="5897E312" w14:textId="7D2091DF" w:rsidR="0075320E" w:rsidRPr="003F3B01" w:rsidRDefault="008F13B3" w:rsidP="0075320E">
            <w:pPr>
              <w:ind w:left="113" w:right="113"/>
              <w:rPr>
                <w:b/>
                <w:bCs/>
                <w:color w:val="FFFFFF" w:themeColor="background1"/>
                <w:sz w:val="32"/>
                <w:szCs w:val="32"/>
              </w:rPr>
            </w:pPr>
            <w:r>
              <w:rPr>
                <w:b/>
                <w:bCs/>
                <w:color w:val="FFFFFF" w:themeColor="background1"/>
                <w:sz w:val="32"/>
                <w:szCs w:val="32"/>
              </w:rPr>
              <w:lastRenderedPageBreak/>
              <w:t>Festigung</w:t>
            </w:r>
          </w:p>
        </w:tc>
        <w:tc>
          <w:tcPr>
            <w:tcW w:w="2024" w:type="dxa"/>
            <w:textDirection w:val="btLr"/>
          </w:tcPr>
          <w:p w14:paraId="55EF1CC7" w14:textId="2CF20C4D" w:rsidR="0075320E" w:rsidRPr="003F3B01" w:rsidRDefault="004C40D9" w:rsidP="003F3B01">
            <w:pPr>
              <w:ind w:left="113" w:right="113"/>
              <w:jc w:val="center"/>
              <w:rPr>
                <w:color w:val="E97132" w:themeColor="accent2"/>
                <w:sz w:val="48"/>
                <w:szCs w:val="48"/>
              </w:rPr>
            </w:pPr>
            <w:r>
              <w:rPr>
                <w:color w:val="E97132" w:themeColor="accent2"/>
                <w:sz w:val="48"/>
                <w:szCs w:val="48"/>
              </w:rPr>
              <w:t>3 – Geldpolitik der EZB</w:t>
            </w:r>
          </w:p>
        </w:tc>
        <w:tc>
          <w:tcPr>
            <w:tcW w:w="6650" w:type="dxa"/>
          </w:tcPr>
          <w:p w14:paraId="5FED269B" w14:textId="77777777" w:rsidR="0075320E" w:rsidRDefault="004C40D9" w:rsidP="009A362C">
            <w:r>
              <w:t>Die Schüler*innen schauen sich das Video der OeNB über „Geldpolitik und Preisstabilität“ an und lösen die darunter zu findende Learning App.</w:t>
            </w:r>
          </w:p>
          <w:p w14:paraId="512FE611" w14:textId="65A82BFC" w:rsidR="004C40D9" w:rsidRDefault="004C40D9" w:rsidP="009A362C">
            <w:r>
              <w:t xml:space="preserve">Im nächsten Schritt analysieren die Schüler*innen die im </w:t>
            </w:r>
            <w:proofErr w:type="spellStart"/>
            <w:r>
              <w:t>Moodle</w:t>
            </w:r>
            <w:proofErr w:type="spellEnd"/>
            <w:r>
              <w:t>-Kurs zu findende Abbildung vor dem Hintergrund der geldpolitischen Zielsetzungen der EZB und stellen Verbindungen zu den einzelnen Schlagzeilen aus M2 her. (evtl. Abgabeordner sichtbar machen)</w:t>
            </w:r>
          </w:p>
        </w:tc>
        <w:tc>
          <w:tcPr>
            <w:tcW w:w="4073" w:type="dxa"/>
          </w:tcPr>
          <w:p w14:paraId="6BE4160D" w14:textId="77777777" w:rsidR="00C1146F" w:rsidRDefault="00C1146F" w:rsidP="009A362C">
            <w:pPr>
              <w:rPr>
                <w:b/>
                <w:bCs/>
              </w:rPr>
            </w:pPr>
          </w:p>
          <w:p w14:paraId="5AB17428" w14:textId="3347FDE5" w:rsidR="004C40D9" w:rsidRPr="004C40D9" w:rsidRDefault="004C40D9" w:rsidP="009A362C">
            <w:pPr>
              <w:rPr>
                <w:b/>
                <w:bCs/>
                <w:color w:val="000000" w:themeColor="text1"/>
                <w:sz w:val="11"/>
                <w:szCs w:val="11"/>
              </w:rPr>
            </w:pPr>
            <w:r w:rsidRPr="004C40D9">
              <w:rPr>
                <w:b/>
                <w:bCs/>
              </w:rPr>
              <w:t xml:space="preserve">Video </w:t>
            </w:r>
            <w:r w:rsidRPr="004C40D9">
              <w:rPr>
                <w:b/>
                <w:bCs/>
                <w:sz w:val="11"/>
                <w:szCs w:val="11"/>
              </w:rPr>
              <w:t xml:space="preserve">(URL: </w:t>
            </w:r>
            <w:hyperlink r:id="rId9" w:history="1">
              <w:r w:rsidRPr="004C40D9">
                <w:rPr>
                  <w:rStyle w:val="Hyperlink"/>
                  <w:b/>
                  <w:bCs/>
                  <w:color w:val="000000" w:themeColor="text1"/>
                  <w:sz w:val="11"/>
                  <w:szCs w:val="11"/>
                  <w:u w:val="none"/>
                </w:rPr>
                <w:t>https://www.youtube.com/watch?v=HflqbCBD0E8</w:t>
              </w:r>
            </w:hyperlink>
            <w:r w:rsidRPr="004C40D9">
              <w:rPr>
                <w:b/>
                <w:bCs/>
                <w:color w:val="000000" w:themeColor="text1"/>
                <w:sz w:val="11"/>
                <w:szCs w:val="11"/>
              </w:rPr>
              <w:t>)</w:t>
            </w:r>
          </w:p>
          <w:p w14:paraId="5F502558" w14:textId="77777777" w:rsidR="004C40D9" w:rsidRPr="004C40D9" w:rsidRDefault="004C40D9" w:rsidP="009A362C">
            <w:pPr>
              <w:rPr>
                <w:b/>
                <w:bCs/>
                <w:color w:val="000000" w:themeColor="text1"/>
                <w:sz w:val="11"/>
                <w:szCs w:val="11"/>
              </w:rPr>
            </w:pPr>
          </w:p>
          <w:p w14:paraId="34200644" w14:textId="77777777" w:rsidR="004C40D9" w:rsidRPr="004C40D9" w:rsidRDefault="004C40D9" w:rsidP="009A362C">
            <w:pPr>
              <w:rPr>
                <w:b/>
                <w:bCs/>
                <w:sz w:val="11"/>
                <w:szCs w:val="11"/>
              </w:rPr>
            </w:pPr>
            <w:r w:rsidRPr="004C40D9">
              <w:rPr>
                <w:b/>
                <w:bCs/>
              </w:rPr>
              <w:t xml:space="preserve">Learning App </w:t>
            </w:r>
            <w:r w:rsidRPr="004C40D9">
              <w:rPr>
                <w:b/>
                <w:bCs/>
                <w:sz w:val="11"/>
                <w:szCs w:val="11"/>
              </w:rPr>
              <w:t xml:space="preserve">(URL: </w:t>
            </w:r>
            <w:r w:rsidRPr="004C40D9">
              <w:rPr>
                <w:b/>
                <w:bCs/>
                <w:sz w:val="11"/>
                <w:szCs w:val="11"/>
              </w:rPr>
              <w:t>https://learningapps.org/watch?v=p2cdpwzen24</w:t>
            </w:r>
            <w:r w:rsidRPr="004C40D9">
              <w:rPr>
                <w:b/>
                <w:bCs/>
                <w:sz w:val="11"/>
                <w:szCs w:val="11"/>
              </w:rPr>
              <w:t>)</w:t>
            </w:r>
          </w:p>
          <w:p w14:paraId="70802C7D" w14:textId="77777777" w:rsidR="004C40D9" w:rsidRPr="004C40D9" w:rsidRDefault="004C40D9" w:rsidP="009A362C">
            <w:pPr>
              <w:rPr>
                <w:b/>
                <w:bCs/>
              </w:rPr>
            </w:pPr>
          </w:p>
          <w:p w14:paraId="359A09F8" w14:textId="106DD439" w:rsidR="004C40D9" w:rsidRPr="004C40D9" w:rsidRDefault="004C40D9" w:rsidP="009A362C">
            <w:pPr>
              <w:rPr>
                <w:b/>
                <w:bCs/>
              </w:rPr>
            </w:pPr>
          </w:p>
        </w:tc>
        <w:tc>
          <w:tcPr>
            <w:tcW w:w="853" w:type="dxa"/>
          </w:tcPr>
          <w:p w14:paraId="274F965C" w14:textId="77777777" w:rsidR="00C1146F" w:rsidRDefault="00C1146F" w:rsidP="008F13B3">
            <w:pPr>
              <w:ind w:left="-52"/>
              <w:jc w:val="center"/>
            </w:pPr>
          </w:p>
          <w:p w14:paraId="717D493B" w14:textId="1B6C9C7E" w:rsidR="0075320E" w:rsidRDefault="00C1146F" w:rsidP="008F13B3">
            <w:pPr>
              <w:ind w:left="-52"/>
              <w:jc w:val="center"/>
            </w:pPr>
            <w:r>
              <w:t>20</w:t>
            </w:r>
            <w:r w:rsidR="008F13B3">
              <w:t xml:space="preserve"> min</w:t>
            </w:r>
          </w:p>
        </w:tc>
      </w:tr>
      <w:tr w:rsidR="005102A7" w14:paraId="44187513" w14:textId="77777777" w:rsidTr="00C1146F">
        <w:trPr>
          <w:cantSplit/>
          <w:trHeight w:val="2822"/>
        </w:trPr>
        <w:tc>
          <w:tcPr>
            <w:tcW w:w="677" w:type="dxa"/>
            <w:shd w:val="clear" w:color="auto" w:fill="E97132" w:themeFill="accent2"/>
            <w:textDirection w:val="btLr"/>
          </w:tcPr>
          <w:p w14:paraId="3E75EB17" w14:textId="24FB909A" w:rsidR="0075320E" w:rsidRPr="003F3B01" w:rsidRDefault="008F13B3" w:rsidP="0075320E">
            <w:pPr>
              <w:ind w:left="113" w:right="113"/>
              <w:rPr>
                <w:b/>
                <w:bCs/>
                <w:color w:val="FFFFFF" w:themeColor="background1"/>
                <w:sz w:val="32"/>
                <w:szCs w:val="32"/>
              </w:rPr>
            </w:pPr>
            <w:r>
              <w:rPr>
                <w:b/>
                <w:bCs/>
                <w:color w:val="FFFFFF" w:themeColor="background1"/>
                <w:sz w:val="32"/>
                <w:szCs w:val="32"/>
              </w:rPr>
              <w:t>Transfer</w:t>
            </w:r>
          </w:p>
        </w:tc>
        <w:tc>
          <w:tcPr>
            <w:tcW w:w="2024" w:type="dxa"/>
            <w:textDirection w:val="btLr"/>
          </w:tcPr>
          <w:p w14:paraId="4CC8A127" w14:textId="6245C664" w:rsidR="0075320E" w:rsidRPr="003F3B01" w:rsidRDefault="004C40D9" w:rsidP="003F3B01">
            <w:pPr>
              <w:ind w:left="113" w:right="113"/>
              <w:jc w:val="center"/>
              <w:rPr>
                <w:color w:val="E97132" w:themeColor="accent2"/>
                <w:sz w:val="48"/>
                <w:szCs w:val="48"/>
              </w:rPr>
            </w:pPr>
            <w:r>
              <w:rPr>
                <w:color w:val="E97132" w:themeColor="accent2"/>
                <w:sz w:val="48"/>
                <w:szCs w:val="48"/>
              </w:rPr>
              <w:t xml:space="preserve">4 – </w:t>
            </w:r>
            <w:proofErr w:type="spellStart"/>
            <w:r>
              <w:rPr>
                <w:color w:val="E97132" w:themeColor="accent2"/>
                <w:sz w:val="48"/>
                <w:szCs w:val="48"/>
              </w:rPr>
              <w:t>Herauforderungen</w:t>
            </w:r>
            <w:proofErr w:type="spellEnd"/>
            <w:r>
              <w:rPr>
                <w:color w:val="E97132" w:themeColor="accent2"/>
                <w:sz w:val="48"/>
                <w:szCs w:val="48"/>
              </w:rPr>
              <w:t xml:space="preserve"> der Geldpolitik</w:t>
            </w:r>
          </w:p>
        </w:tc>
        <w:tc>
          <w:tcPr>
            <w:tcW w:w="6650" w:type="dxa"/>
          </w:tcPr>
          <w:p w14:paraId="47DB402A" w14:textId="3E4D1C82" w:rsidR="0075320E" w:rsidRDefault="004C40D9" w:rsidP="009A362C">
            <w:r>
              <w:t xml:space="preserve">Die Schüler*innen sollen anhand der beiden Pressemeldungen (M4) die geldpolitischen Herausforderungen der EZB </w:t>
            </w:r>
            <w:proofErr w:type="gramStart"/>
            <w:r>
              <w:t>in 2015</w:t>
            </w:r>
            <w:proofErr w:type="gramEnd"/>
            <w:r>
              <w:t xml:space="preserve"> und 2021 analysieren und diese mit den unterschiedlichen wirtschaftlichen Situationen in diesen Zeiträumen begründen.</w:t>
            </w:r>
          </w:p>
        </w:tc>
        <w:tc>
          <w:tcPr>
            <w:tcW w:w="4073" w:type="dxa"/>
          </w:tcPr>
          <w:p w14:paraId="2A175A48" w14:textId="77777777" w:rsidR="00C1146F" w:rsidRDefault="00C1146F" w:rsidP="009A362C">
            <w:pPr>
              <w:rPr>
                <w:b/>
                <w:bCs/>
              </w:rPr>
            </w:pPr>
          </w:p>
          <w:p w14:paraId="758E7FDC" w14:textId="282EE517" w:rsidR="0075320E" w:rsidRPr="00C1146F" w:rsidRDefault="004C40D9" w:rsidP="009A362C">
            <w:pPr>
              <w:rPr>
                <w:b/>
                <w:bCs/>
                <w:color w:val="000000" w:themeColor="text1"/>
                <w:sz w:val="11"/>
                <w:szCs w:val="11"/>
              </w:rPr>
            </w:pPr>
            <w:r>
              <w:rPr>
                <w:b/>
                <w:bCs/>
              </w:rPr>
              <w:t xml:space="preserve">M4 – Pressemeldung 2015 </w:t>
            </w:r>
            <w:r w:rsidRPr="00C1146F">
              <w:rPr>
                <w:b/>
                <w:bCs/>
                <w:color w:val="000000" w:themeColor="text1"/>
                <w:sz w:val="8"/>
                <w:szCs w:val="8"/>
              </w:rPr>
              <w:t xml:space="preserve">(URL: </w:t>
            </w:r>
            <w:hyperlink r:id="rId10" w:history="1">
              <w:r w:rsidR="005102A7" w:rsidRPr="00C1146F">
                <w:rPr>
                  <w:rStyle w:val="Hyperlink"/>
                  <w:b/>
                  <w:bCs/>
                  <w:color w:val="000000" w:themeColor="text1"/>
                  <w:sz w:val="8"/>
                  <w:szCs w:val="8"/>
                  <w:u w:val="none"/>
                </w:rPr>
                <w:t>https://simpleshow.com/de/?ref=https%3A%2F%2Fvideos.</w:t>
              </w:r>
              <w:r w:rsidR="005102A7" w:rsidRPr="00C1146F">
                <w:rPr>
                  <w:rStyle w:val="Hyperlink"/>
                  <w:b/>
                  <w:bCs/>
                  <w:color w:val="000000" w:themeColor="text1"/>
                  <w:sz w:val="8"/>
                  <w:szCs w:val="8"/>
                  <w:u w:val="none"/>
                </w:rPr>
                <w:t>simpleshow</w:t>
              </w:r>
              <w:r w:rsidR="005102A7" w:rsidRPr="00C1146F">
                <w:rPr>
                  <w:rStyle w:val="Hyperlink"/>
                  <w:b/>
                  <w:bCs/>
                  <w:color w:val="000000" w:themeColor="text1"/>
                  <w:sz w:val="8"/>
                  <w:szCs w:val="8"/>
                  <w:u w:val="none"/>
                </w:rPr>
                <w:t>.</w:t>
              </w:r>
              <w:r w:rsidR="005102A7" w:rsidRPr="00C1146F">
                <w:rPr>
                  <w:rStyle w:val="Hyperlink"/>
                  <w:b/>
                  <w:bCs/>
                  <w:color w:val="000000" w:themeColor="text1"/>
                  <w:sz w:val="8"/>
                  <w:szCs w:val="8"/>
                  <w:u w:val="none"/>
                </w:rPr>
                <w:t>com%2FW5wcksgSm1</w:t>
              </w:r>
            </w:hyperlink>
            <w:r w:rsidR="005102A7" w:rsidRPr="00C1146F">
              <w:rPr>
                <w:b/>
                <w:bCs/>
                <w:color w:val="000000" w:themeColor="text1"/>
                <w:sz w:val="8"/>
                <w:szCs w:val="8"/>
              </w:rPr>
              <w:t>)</w:t>
            </w:r>
          </w:p>
          <w:p w14:paraId="46952D23" w14:textId="77777777" w:rsidR="005102A7" w:rsidRPr="00C1146F" w:rsidRDefault="005102A7" w:rsidP="009A362C">
            <w:pPr>
              <w:rPr>
                <w:b/>
                <w:bCs/>
                <w:color w:val="000000" w:themeColor="text1"/>
                <w:sz w:val="11"/>
                <w:szCs w:val="11"/>
              </w:rPr>
            </w:pPr>
          </w:p>
          <w:p w14:paraId="4F8E1983" w14:textId="77777777" w:rsidR="005102A7" w:rsidRDefault="005102A7" w:rsidP="009A362C">
            <w:pPr>
              <w:rPr>
                <w:b/>
                <w:bCs/>
              </w:rPr>
            </w:pPr>
            <w:r w:rsidRPr="00C1146F">
              <w:rPr>
                <w:b/>
                <w:bCs/>
                <w:color w:val="000000" w:themeColor="text1"/>
              </w:rPr>
              <w:t xml:space="preserve">M4 – Pressemeldung 2021 </w:t>
            </w:r>
            <w:r w:rsidRPr="00C1146F">
              <w:rPr>
                <w:b/>
                <w:bCs/>
                <w:color w:val="000000" w:themeColor="text1"/>
                <w:sz w:val="11"/>
                <w:szCs w:val="11"/>
              </w:rPr>
              <w:t xml:space="preserve">(URL: </w:t>
            </w:r>
            <w:r w:rsidRPr="005102A7">
              <w:rPr>
                <w:b/>
                <w:bCs/>
                <w:sz w:val="11"/>
                <w:szCs w:val="11"/>
              </w:rPr>
              <w:t>https://videos.simpleshow.com/r4doUUMUkN</w:t>
            </w:r>
            <w:r w:rsidRPr="005102A7">
              <w:rPr>
                <w:b/>
                <w:bCs/>
                <w:sz w:val="11"/>
                <w:szCs w:val="11"/>
              </w:rPr>
              <w:t>)</w:t>
            </w:r>
            <w:r>
              <w:rPr>
                <w:b/>
                <w:bCs/>
                <w:sz w:val="11"/>
                <w:szCs w:val="11"/>
              </w:rPr>
              <w:br/>
            </w:r>
          </w:p>
          <w:p w14:paraId="413973C8" w14:textId="31F3E806" w:rsidR="005102A7" w:rsidRPr="003F3B01" w:rsidRDefault="005102A7" w:rsidP="009A362C">
            <w:pPr>
              <w:rPr>
                <w:b/>
                <w:bCs/>
              </w:rPr>
            </w:pPr>
            <w:r>
              <w:rPr>
                <w:b/>
                <w:bCs/>
              </w:rPr>
              <w:t>M4 – Pressemeldungen zum Nachlesen</w:t>
            </w:r>
          </w:p>
        </w:tc>
        <w:tc>
          <w:tcPr>
            <w:tcW w:w="853" w:type="dxa"/>
          </w:tcPr>
          <w:p w14:paraId="5FD50215" w14:textId="77777777" w:rsidR="00C1146F" w:rsidRDefault="00C1146F" w:rsidP="008F13B3">
            <w:pPr>
              <w:ind w:left="-52"/>
              <w:jc w:val="center"/>
            </w:pPr>
          </w:p>
          <w:p w14:paraId="541BA868" w14:textId="2454157C" w:rsidR="0075320E" w:rsidRDefault="00C1146F" w:rsidP="008F13B3">
            <w:pPr>
              <w:ind w:left="-52"/>
              <w:jc w:val="center"/>
            </w:pPr>
            <w:r>
              <w:t>20</w:t>
            </w:r>
            <w:r w:rsidR="008F13B3">
              <w:t xml:space="preserve"> min</w:t>
            </w:r>
          </w:p>
        </w:tc>
      </w:tr>
    </w:tbl>
    <w:p w14:paraId="6F0A494A" w14:textId="77777777" w:rsidR="009A362C" w:rsidRDefault="009A362C" w:rsidP="009A362C"/>
    <w:p w14:paraId="2FB47950" w14:textId="77777777" w:rsidR="00EB361C" w:rsidRDefault="00EB361C" w:rsidP="009A362C"/>
    <w:p w14:paraId="1B93F382" w14:textId="77777777" w:rsidR="00EB361C" w:rsidRDefault="00EB361C" w:rsidP="009A362C"/>
    <w:p w14:paraId="6BA4C768" w14:textId="77777777" w:rsidR="00EB361C" w:rsidRDefault="00EB361C" w:rsidP="009A362C"/>
    <w:p w14:paraId="51F06F7D" w14:textId="77777777" w:rsidR="00EB361C" w:rsidRDefault="00EB361C" w:rsidP="009A362C"/>
    <w:p w14:paraId="5155EF2B" w14:textId="77777777" w:rsidR="00EB361C" w:rsidRDefault="00EB361C" w:rsidP="009A362C"/>
    <w:p w14:paraId="72019E35" w14:textId="12750F43" w:rsidR="00C1146F" w:rsidRPr="00756927" w:rsidRDefault="00C1146F" w:rsidP="00C1146F">
      <w:pPr>
        <w:pStyle w:val="Listenabsatz"/>
        <w:numPr>
          <w:ilvl w:val="0"/>
          <w:numId w:val="1"/>
        </w:numPr>
        <w:shd w:val="clear" w:color="auto" w:fill="E97132" w:themeFill="accent2"/>
        <w:rPr>
          <w:color w:val="FFFFFF" w:themeColor="background1"/>
          <w:sz w:val="36"/>
          <w:szCs w:val="36"/>
        </w:rPr>
      </w:pPr>
      <w:r w:rsidRPr="00756927">
        <w:rPr>
          <w:color w:val="FFFFFF" w:themeColor="background1"/>
          <w:sz w:val="36"/>
          <w:szCs w:val="36"/>
        </w:rPr>
        <w:lastRenderedPageBreak/>
        <w:t xml:space="preserve">Einheit: </w:t>
      </w:r>
      <w:r w:rsidR="00EB361C" w:rsidRPr="00756927">
        <w:rPr>
          <w:color w:val="FFFFFF" w:themeColor="background1"/>
          <w:sz w:val="36"/>
          <w:szCs w:val="36"/>
        </w:rPr>
        <w:t>Unterschiedliche geldpolitische Herausforderungen</w:t>
      </w:r>
    </w:p>
    <w:tbl>
      <w:tblPr>
        <w:tblStyle w:val="Tabellenraster"/>
        <w:tblW w:w="0" w:type="auto"/>
        <w:tblLook w:val="04A0" w:firstRow="1" w:lastRow="0" w:firstColumn="1" w:lastColumn="0" w:noHBand="0" w:noVBand="1"/>
      </w:tblPr>
      <w:tblGrid>
        <w:gridCol w:w="676"/>
        <w:gridCol w:w="2009"/>
        <w:gridCol w:w="8136"/>
        <w:gridCol w:w="2607"/>
        <w:gridCol w:w="849"/>
      </w:tblGrid>
      <w:tr w:rsidR="00EB361C" w14:paraId="54E236D7" w14:textId="77777777" w:rsidTr="00EB361C">
        <w:trPr>
          <w:cantSplit/>
          <w:trHeight w:val="4074"/>
        </w:trPr>
        <w:tc>
          <w:tcPr>
            <w:tcW w:w="677" w:type="dxa"/>
            <w:shd w:val="clear" w:color="auto" w:fill="E97132" w:themeFill="accent2"/>
            <w:textDirection w:val="btLr"/>
          </w:tcPr>
          <w:p w14:paraId="243A02A8" w14:textId="30F4C41D" w:rsidR="00EB361C" w:rsidRPr="003F3B01" w:rsidRDefault="00EB361C" w:rsidP="00EB361C">
            <w:pPr>
              <w:ind w:left="113" w:right="113"/>
              <w:jc w:val="center"/>
              <w:rPr>
                <w:b/>
                <w:bCs/>
                <w:color w:val="FFFFFF" w:themeColor="background1"/>
                <w:sz w:val="32"/>
                <w:szCs w:val="32"/>
              </w:rPr>
            </w:pPr>
            <w:r>
              <w:rPr>
                <w:b/>
                <w:bCs/>
                <w:color w:val="FFFFFF" w:themeColor="background1"/>
                <w:sz w:val="32"/>
                <w:szCs w:val="32"/>
              </w:rPr>
              <w:t>Wiederholung</w:t>
            </w:r>
          </w:p>
        </w:tc>
        <w:tc>
          <w:tcPr>
            <w:tcW w:w="2024" w:type="dxa"/>
            <w:textDirection w:val="btLr"/>
          </w:tcPr>
          <w:p w14:paraId="608499C2" w14:textId="269960F4" w:rsidR="00EB361C" w:rsidRPr="003F3B01" w:rsidRDefault="00EB361C" w:rsidP="00002FC0">
            <w:pPr>
              <w:ind w:left="113" w:right="113"/>
              <w:jc w:val="center"/>
              <w:rPr>
                <w:color w:val="E97132" w:themeColor="accent2"/>
                <w:sz w:val="48"/>
                <w:szCs w:val="48"/>
              </w:rPr>
            </w:pPr>
            <w:r>
              <w:rPr>
                <w:color w:val="E97132" w:themeColor="accent2"/>
                <w:sz w:val="48"/>
                <w:szCs w:val="48"/>
              </w:rPr>
              <w:t>Wiederholung der letzten Stunde</w:t>
            </w:r>
          </w:p>
        </w:tc>
        <w:tc>
          <w:tcPr>
            <w:tcW w:w="8209" w:type="dxa"/>
          </w:tcPr>
          <w:p w14:paraId="5A0B8031" w14:textId="3E80D22C" w:rsidR="00EB361C" w:rsidRDefault="00EB361C" w:rsidP="00002FC0">
            <w:r>
              <w:t>Im Plenum geht man noch einmal das Gelernte der letzten Stunde durch und diskutiert alle Erkenntnisse.</w:t>
            </w:r>
          </w:p>
        </w:tc>
        <w:tc>
          <w:tcPr>
            <w:tcW w:w="2514" w:type="dxa"/>
          </w:tcPr>
          <w:p w14:paraId="45B85724" w14:textId="77777777" w:rsidR="00EB361C" w:rsidRPr="003F3B01" w:rsidRDefault="00EB361C" w:rsidP="00EB361C">
            <w:pPr>
              <w:rPr>
                <w:b/>
                <w:bCs/>
              </w:rPr>
            </w:pPr>
          </w:p>
        </w:tc>
        <w:tc>
          <w:tcPr>
            <w:tcW w:w="853" w:type="dxa"/>
          </w:tcPr>
          <w:p w14:paraId="4BF3DA4B" w14:textId="77777777" w:rsidR="00EB361C" w:rsidRDefault="00EB361C" w:rsidP="00002FC0">
            <w:pPr>
              <w:ind w:left="-52"/>
              <w:jc w:val="center"/>
            </w:pPr>
          </w:p>
          <w:p w14:paraId="650A3D65" w14:textId="718023EF" w:rsidR="00EB361C" w:rsidRDefault="00EB361C" w:rsidP="00002FC0">
            <w:pPr>
              <w:ind w:left="-52"/>
              <w:jc w:val="center"/>
            </w:pPr>
            <w:r>
              <w:t>5</w:t>
            </w:r>
            <w:r>
              <w:t xml:space="preserve"> min</w:t>
            </w:r>
          </w:p>
        </w:tc>
      </w:tr>
      <w:tr w:rsidR="00EB361C" w14:paraId="200A7A42" w14:textId="77777777" w:rsidTr="00EB361C">
        <w:trPr>
          <w:cantSplit/>
          <w:trHeight w:val="3574"/>
        </w:trPr>
        <w:tc>
          <w:tcPr>
            <w:tcW w:w="677" w:type="dxa"/>
            <w:shd w:val="clear" w:color="auto" w:fill="E97132" w:themeFill="accent2"/>
            <w:textDirection w:val="btLr"/>
          </w:tcPr>
          <w:p w14:paraId="055EA635" w14:textId="343A2BCC" w:rsidR="00EB361C" w:rsidRPr="003F3B01" w:rsidRDefault="00EB361C" w:rsidP="00EB361C">
            <w:pPr>
              <w:ind w:left="113" w:right="113"/>
              <w:jc w:val="center"/>
              <w:rPr>
                <w:b/>
                <w:bCs/>
                <w:color w:val="FFFFFF" w:themeColor="background1"/>
                <w:sz w:val="32"/>
                <w:szCs w:val="32"/>
              </w:rPr>
            </w:pPr>
            <w:r>
              <w:rPr>
                <w:b/>
                <w:bCs/>
                <w:color w:val="FFFFFF" w:themeColor="background1"/>
                <w:sz w:val="32"/>
                <w:szCs w:val="32"/>
              </w:rPr>
              <w:t>Erarbeitung</w:t>
            </w:r>
          </w:p>
        </w:tc>
        <w:tc>
          <w:tcPr>
            <w:tcW w:w="2024" w:type="dxa"/>
            <w:textDirection w:val="btLr"/>
          </w:tcPr>
          <w:p w14:paraId="1B1AF967" w14:textId="287EA75B" w:rsidR="00EB361C" w:rsidRPr="00234B72" w:rsidRDefault="00EB361C" w:rsidP="00002FC0">
            <w:pPr>
              <w:ind w:left="360" w:right="113"/>
              <w:jc w:val="center"/>
              <w:rPr>
                <w:color w:val="E97132" w:themeColor="accent2"/>
                <w:sz w:val="48"/>
                <w:szCs w:val="48"/>
              </w:rPr>
            </w:pPr>
            <w:r>
              <w:rPr>
                <w:color w:val="E97132" w:themeColor="accent2"/>
                <w:sz w:val="48"/>
                <w:szCs w:val="48"/>
              </w:rPr>
              <w:t>5 – Maßnahmen der EZB</w:t>
            </w:r>
          </w:p>
        </w:tc>
        <w:tc>
          <w:tcPr>
            <w:tcW w:w="8209" w:type="dxa"/>
          </w:tcPr>
          <w:p w14:paraId="74DE9618" w14:textId="5E3D777B" w:rsidR="00EB361C" w:rsidRDefault="00EB361C" w:rsidP="00002FC0">
            <w:r>
              <w:t>Bei Aufgabe 5.1. sollen die Schüler*innen die Learning App „Geldpolitische Werkzeuge der EZB“ erarbeiten und üben.</w:t>
            </w:r>
          </w:p>
        </w:tc>
        <w:tc>
          <w:tcPr>
            <w:tcW w:w="2514" w:type="dxa"/>
          </w:tcPr>
          <w:p w14:paraId="1A3100F8" w14:textId="77777777" w:rsidR="00EB361C" w:rsidRDefault="00EB361C" w:rsidP="00002FC0">
            <w:pPr>
              <w:rPr>
                <w:b/>
                <w:bCs/>
              </w:rPr>
            </w:pPr>
          </w:p>
          <w:p w14:paraId="64FEF34C" w14:textId="4249B015" w:rsidR="00EB361C" w:rsidRPr="003F3B01" w:rsidRDefault="00EB361C" w:rsidP="00002FC0">
            <w:pPr>
              <w:rPr>
                <w:b/>
                <w:bCs/>
              </w:rPr>
            </w:pPr>
            <w:r>
              <w:rPr>
                <w:b/>
                <w:bCs/>
              </w:rPr>
              <w:t xml:space="preserve">Learning App </w:t>
            </w:r>
            <w:r w:rsidRPr="00EB361C">
              <w:rPr>
                <w:b/>
                <w:bCs/>
                <w:sz w:val="11"/>
                <w:szCs w:val="11"/>
              </w:rPr>
              <w:t xml:space="preserve">(URL: </w:t>
            </w:r>
            <w:r w:rsidRPr="00EB361C">
              <w:rPr>
                <w:b/>
                <w:bCs/>
                <w:sz w:val="11"/>
                <w:szCs w:val="11"/>
              </w:rPr>
              <w:t>https://learningapps.org/watch?v=pm6izs6oj24</w:t>
            </w:r>
            <w:r w:rsidRPr="00EB361C">
              <w:rPr>
                <w:b/>
                <w:bCs/>
                <w:sz w:val="11"/>
                <w:szCs w:val="11"/>
              </w:rPr>
              <w:t>)</w:t>
            </w:r>
          </w:p>
        </w:tc>
        <w:tc>
          <w:tcPr>
            <w:tcW w:w="853" w:type="dxa"/>
          </w:tcPr>
          <w:p w14:paraId="23C89635" w14:textId="77777777" w:rsidR="00EB361C" w:rsidRDefault="00EB361C" w:rsidP="00002FC0">
            <w:pPr>
              <w:ind w:left="-52"/>
              <w:jc w:val="center"/>
            </w:pPr>
          </w:p>
          <w:p w14:paraId="613742CC" w14:textId="32A12ED6" w:rsidR="00EB361C" w:rsidRDefault="00EB361C" w:rsidP="00002FC0">
            <w:pPr>
              <w:ind w:left="-52"/>
              <w:jc w:val="center"/>
            </w:pPr>
            <w:r>
              <w:t>1</w:t>
            </w:r>
            <w:r>
              <w:t xml:space="preserve">5 </w:t>
            </w:r>
            <w:r>
              <w:t>min</w:t>
            </w:r>
          </w:p>
        </w:tc>
      </w:tr>
      <w:tr w:rsidR="00EB361C" w14:paraId="27ED0886" w14:textId="77777777" w:rsidTr="00EB361C">
        <w:trPr>
          <w:cantSplit/>
          <w:trHeight w:val="3574"/>
        </w:trPr>
        <w:tc>
          <w:tcPr>
            <w:tcW w:w="677" w:type="dxa"/>
            <w:shd w:val="clear" w:color="auto" w:fill="E97132" w:themeFill="accent2"/>
            <w:textDirection w:val="btLr"/>
          </w:tcPr>
          <w:p w14:paraId="50DB9C9C" w14:textId="32224D00" w:rsidR="00EB361C" w:rsidRDefault="00EB361C" w:rsidP="00EB361C">
            <w:pPr>
              <w:ind w:left="113" w:right="113"/>
              <w:jc w:val="center"/>
              <w:rPr>
                <w:b/>
                <w:bCs/>
                <w:color w:val="FFFFFF" w:themeColor="background1"/>
                <w:sz w:val="32"/>
                <w:szCs w:val="32"/>
              </w:rPr>
            </w:pPr>
            <w:r>
              <w:rPr>
                <w:b/>
                <w:bCs/>
                <w:color w:val="FFFFFF" w:themeColor="background1"/>
                <w:sz w:val="32"/>
                <w:szCs w:val="32"/>
              </w:rPr>
              <w:lastRenderedPageBreak/>
              <w:t>Transfer</w:t>
            </w:r>
          </w:p>
        </w:tc>
        <w:tc>
          <w:tcPr>
            <w:tcW w:w="2024" w:type="dxa"/>
            <w:textDirection w:val="btLr"/>
          </w:tcPr>
          <w:p w14:paraId="1413F174" w14:textId="7C702CEA" w:rsidR="00EB361C" w:rsidRDefault="00EB361C" w:rsidP="00002FC0">
            <w:pPr>
              <w:ind w:left="360" w:right="113"/>
              <w:jc w:val="center"/>
              <w:rPr>
                <w:color w:val="E97132" w:themeColor="accent2"/>
                <w:sz w:val="48"/>
                <w:szCs w:val="48"/>
              </w:rPr>
            </w:pPr>
            <w:r>
              <w:rPr>
                <w:color w:val="E97132" w:themeColor="accent2"/>
                <w:sz w:val="48"/>
                <w:szCs w:val="48"/>
              </w:rPr>
              <w:t>6 – persönliche Betroffenheit</w:t>
            </w:r>
          </w:p>
        </w:tc>
        <w:tc>
          <w:tcPr>
            <w:tcW w:w="8209" w:type="dxa"/>
          </w:tcPr>
          <w:p w14:paraId="5C22AE61" w14:textId="74539093" w:rsidR="00EB361C" w:rsidRDefault="00926B6B" w:rsidP="00002FC0">
            <w:r>
              <w:t>Die Schüler*innen sollen allein/oder eventuell in Partnerarbeit analysieren, wie sie zum jetzigen Zeitpunkt von der Inflationsentwicklung betroffen sind und wie sie betroffen wären, wenn sie jetzt am Beginn des Erwerbslebens stehen würden. Dazu sollen sie eine Mindmap gestalten und evtl. abgeben.</w:t>
            </w:r>
          </w:p>
        </w:tc>
        <w:tc>
          <w:tcPr>
            <w:tcW w:w="2514" w:type="dxa"/>
          </w:tcPr>
          <w:p w14:paraId="3988A4C4" w14:textId="1E31B285" w:rsidR="00EB361C" w:rsidRDefault="00926B6B" w:rsidP="00002FC0">
            <w:pPr>
              <w:rPr>
                <w:b/>
                <w:bCs/>
              </w:rPr>
            </w:pPr>
            <w:r>
              <w:rPr>
                <w:b/>
                <w:bCs/>
              </w:rPr>
              <w:t xml:space="preserve">App – </w:t>
            </w:r>
            <w:proofErr w:type="spellStart"/>
            <w:r>
              <w:rPr>
                <w:b/>
                <w:bCs/>
              </w:rPr>
              <w:t>Mindmapping</w:t>
            </w:r>
            <w:proofErr w:type="spellEnd"/>
            <w:r>
              <w:rPr>
                <w:b/>
                <w:bCs/>
              </w:rPr>
              <w:br/>
            </w:r>
            <w:r w:rsidRPr="00926B6B">
              <w:rPr>
                <w:b/>
                <w:bCs/>
                <w:sz w:val="11"/>
                <w:szCs w:val="11"/>
              </w:rPr>
              <w:t xml:space="preserve">(URL: </w:t>
            </w:r>
            <w:r w:rsidRPr="00926B6B">
              <w:rPr>
                <w:b/>
                <w:bCs/>
                <w:sz w:val="11"/>
                <w:szCs w:val="11"/>
              </w:rPr>
              <w:t>https://www.mindmup.com</w:t>
            </w:r>
            <w:r w:rsidRPr="00926B6B">
              <w:rPr>
                <w:b/>
                <w:bCs/>
                <w:sz w:val="11"/>
                <w:szCs w:val="11"/>
              </w:rPr>
              <w:t>)</w:t>
            </w:r>
          </w:p>
        </w:tc>
        <w:tc>
          <w:tcPr>
            <w:tcW w:w="853" w:type="dxa"/>
          </w:tcPr>
          <w:p w14:paraId="4A25D1C3" w14:textId="668C1FE7" w:rsidR="00EB361C" w:rsidRDefault="00EB361C" w:rsidP="00002FC0">
            <w:pPr>
              <w:ind w:left="-52"/>
              <w:jc w:val="center"/>
            </w:pPr>
            <w:r>
              <w:t>30</w:t>
            </w:r>
            <w:r w:rsidR="00926B6B">
              <w:t xml:space="preserve"> min</w:t>
            </w:r>
          </w:p>
        </w:tc>
      </w:tr>
      <w:tr w:rsidR="00926B6B" w14:paraId="7F9BF2A6" w14:textId="77777777" w:rsidTr="00EB361C">
        <w:trPr>
          <w:cantSplit/>
          <w:trHeight w:val="3574"/>
        </w:trPr>
        <w:tc>
          <w:tcPr>
            <w:tcW w:w="677" w:type="dxa"/>
            <w:shd w:val="clear" w:color="auto" w:fill="E97132" w:themeFill="accent2"/>
            <w:textDirection w:val="btLr"/>
          </w:tcPr>
          <w:p w14:paraId="53F5C6DD" w14:textId="6A25AD4F" w:rsidR="00926B6B" w:rsidRDefault="00926B6B" w:rsidP="00EB361C">
            <w:pPr>
              <w:ind w:left="113" w:right="113"/>
              <w:jc w:val="center"/>
              <w:rPr>
                <w:b/>
                <w:bCs/>
                <w:color w:val="FFFFFF" w:themeColor="background1"/>
                <w:sz w:val="32"/>
                <w:szCs w:val="32"/>
              </w:rPr>
            </w:pPr>
            <w:r>
              <w:rPr>
                <w:b/>
                <w:bCs/>
                <w:color w:val="FFFFFF" w:themeColor="background1"/>
                <w:sz w:val="32"/>
                <w:szCs w:val="32"/>
              </w:rPr>
              <w:t>Reflexion</w:t>
            </w:r>
          </w:p>
        </w:tc>
        <w:tc>
          <w:tcPr>
            <w:tcW w:w="2024" w:type="dxa"/>
            <w:textDirection w:val="btLr"/>
          </w:tcPr>
          <w:p w14:paraId="16DAEB5F" w14:textId="51FFD595" w:rsidR="00926B6B" w:rsidRDefault="00926B6B" w:rsidP="00002FC0">
            <w:pPr>
              <w:ind w:left="360" w:right="113"/>
              <w:jc w:val="center"/>
              <w:rPr>
                <w:color w:val="E97132" w:themeColor="accent2"/>
                <w:sz w:val="48"/>
                <w:szCs w:val="48"/>
              </w:rPr>
            </w:pPr>
            <w:r>
              <w:rPr>
                <w:color w:val="E97132" w:themeColor="accent2"/>
                <w:sz w:val="48"/>
                <w:szCs w:val="48"/>
              </w:rPr>
              <w:t>Abschluss - Reflexion</w:t>
            </w:r>
          </w:p>
        </w:tc>
        <w:tc>
          <w:tcPr>
            <w:tcW w:w="8209" w:type="dxa"/>
          </w:tcPr>
          <w:p w14:paraId="6784623E" w14:textId="54A5724D" w:rsidR="00926B6B" w:rsidRDefault="00926B6B" w:rsidP="00002FC0">
            <w:r>
              <w:t>Nun wird im Klassenplenum noch einmal die gesamte Thematik diskutiert und die Mindmaps werden verglichen und analysiert.</w:t>
            </w:r>
          </w:p>
        </w:tc>
        <w:tc>
          <w:tcPr>
            <w:tcW w:w="2514" w:type="dxa"/>
          </w:tcPr>
          <w:p w14:paraId="5CB9D058" w14:textId="77777777" w:rsidR="00926B6B" w:rsidRDefault="00926B6B" w:rsidP="00002FC0">
            <w:pPr>
              <w:rPr>
                <w:b/>
                <w:bCs/>
              </w:rPr>
            </w:pPr>
          </w:p>
        </w:tc>
        <w:tc>
          <w:tcPr>
            <w:tcW w:w="853" w:type="dxa"/>
          </w:tcPr>
          <w:p w14:paraId="5F7AA86B" w14:textId="493C2A66" w:rsidR="00926B6B" w:rsidRDefault="00926B6B" w:rsidP="00002FC0">
            <w:pPr>
              <w:ind w:left="-52"/>
              <w:jc w:val="center"/>
            </w:pPr>
            <w:r>
              <w:t>10 min</w:t>
            </w:r>
          </w:p>
        </w:tc>
      </w:tr>
    </w:tbl>
    <w:p w14:paraId="414569EE" w14:textId="77777777" w:rsidR="00EB361C" w:rsidRPr="00EB361C" w:rsidRDefault="00EB361C" w:rsidP="00EB361C">
      <w:pPr>
        <w:rPr>
          <w:color w:val="000000" w:themeColor="text1"/>
        </w:rPr>
      </w:pPr>
    </w:p>
    <w:sectPr w:rsidR="00EB361C" w:rsidRPr="00EB361C" w:rsidSect="009A362C">
      <w:headerReference w:type="default" r:id="rId11"/>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5E78D" w14:textId="77777777" w:rsidR="009958AC" w:rsidRDefault="009958AC" w:rsidP="009A362C">
      <w:pPr>
        <w:spacing w:after="0" w:line="240" w:lineRule="auto"/>
      </w:pPr>
      <w:r>
        <w:separator/>
      </w:r>
    </w:p>
  </w:endnote>
  <w:endnote w:type="continuationSeparator" w:id="0">
    <w:p w14:paraId="7937822D" w14:textId="77777777" w:rsidR="009958AC" w:rsidRDefault="009958AC" w:rsidP="009A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31279" w14:textId="77777777" w:rsidR="009958AC" w:rsidRDefault="009958AC" w:rsidP="009A362C">
      <w:pPr>
        <w:spacing w:after="0" w:line="240" w:lineRule="auto"/>
      </w:pPr>
      <w:r>
        <w:separator/>
      </w:r>
    </w:p>
  </w:footnote>
  <w:footnote w:type="continuationSeparator" w:id="0">
    <w:p w14:paraId="6F13E882" w14:textId="77777777" w:rsidR="009958AC" w:rsidRDefault="009958AC" w:rsidP="009A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97132" w:themeFill="accent2"/>
      <w:tblCellMar>
        <w:top w:w="115" w:type="dxa"/>
        <w:left w:w="115" w:type="dxa"/>
        <w:bottom w:w="115" w:type="dxa"/>
        <w:right w:w="115" w:type="dxa"/>
      </w:tblCellMar>
      <w:tblLook w:val="04A0" w:firstRow="1" w:lastRow="0" w:firstColumn="1" w:lastColumn="0" w:noHBand="0" w:noVBand="1"/>
    </w:tblPr>
    <w:tblGrid>
      <w:gridCol w:w="722"/>
      <w:gridCol w:w="13565"/>
    </w:tblGrid>
    <w:tr w:rsidR="009A362C" w14:paraId="4E55F7DE" w14:textId="77777777">
      <w:trPr>
        <w:jc w:val="right"/>
      </w:trPr>
      <w:tc>
        <w:tcPr>
          <w:tcW w:w="0" w:type="auto"/>
          <w:shd w:val="clear" w:color="auto" w:fill="E97132" w:themeFill="accent2"/>
          <w:vAlign w:val="center"/>
        </w:tcPr>
        <w:p w14:paraId="4B197C77" w14:textId="77777777" w:rsidR="009A362C" w:rsidRDefault="009A362C">
          <w:pPr>
            <w:pStyle w:val="Kopfzeile"/>
            <w:rPr>
              <w:caps/>
              <w:color w:val="FFFFFF" w:themeColor="background1"/>
            </w:rPr>
          </w:pPr>
        </w:p>
      </w:tc>
      <w:tc>
        <w:tcPr>
          <w:tcW w:w="0" w:type="auto"/>
          <w:shd w:val="clear" w:color="auto" w:fill="E97132" w:themeFill="accent2"/>
          <w:vAlign w:val="center"/>
        </w:tcPr>
        <w:p w14:paraId="2BC8B860" w14:textId="1CFA291D" w:rsidR="009A362C" w:rsidRDefault="009A362C">
          <w:pPr>
            <w:pStyle w:val="Kopfzeile"/>
            <w:jc w:val="right"/>
            <w:rPr>
              <w:caps/>
              <w:color w:val="FFFFFF" w:themeColor="background1"/>
            </w:rPr>
          </w:pPr>
          <w:r>
            <w:rPr>
              <w:caps/>
              <w:color w:val="FFFFFF" w:themeColor="background1"/>
            </w:rPr>
            <w:t xml:space="preserve"> </w:t>
          </w:r>
          <w:sdt>
            <w:sdtPr>
              <w:rPr>
                <w:caps/>
                <w:color w:val="FFFFFF" w:themeColor="background1"/>
              </w:rPr>
              <w:alias w:val="Titel"/>
              <w:tag w:val=""/>
              <w:id w:val="-773790484"/>
              <w:placeholder>
                <w:docPart w:val="ED0BCCBA835D0F40AA07B3527316BE28"/>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Die Rolle der Geldpolitik in der EU</w:t>
              </w:r>
            </w:sdtContent>
          </w:sdt>
        </w:p>
      </w:tc>
    </w:tr>
  </w:tbl>
  <w:p w14:paraId="1FDACAD9" w14:textId="3A117746" w:rsidR="009A362C" w:rsidRDefault="009A36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5768"/>
    <w:multiLevelType w:val="hybridMultilevel"/>
    <w:tmpl w:val="5946249A"/>
    <w:lvl w:ilvl="0" w:tplc="CEFAD712">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193D82"/>
    <w:multiLevelType w:val="hybridMultilevel"/>
    <w:tmpl w:val="3CCA90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907468"/>
    <w:multiLevelType w:val="hybridMultilevel"/>
    <w:tmpl w:val="3CCA90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9559033">
    <w:abstractNumId w:val="2"/>
  </w:num>
  <w:num w:numId="2" w16cid:durableId="739787345">
    <w:abstractNumId w:val="0"/>
  </w:num>
  <w:num w:numId="3" w16cid:durableId="1453549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2C"/>
    <w:rsid w:val="00234B72"/>
    <w:rsid w:val="002578E4"/>
    <w:rsid w:val="003F3B01"/>
    <w:rsid w:val="00416143"/>
    <w:rsid w:val="004C40D9"/>
    <w:rsid w:val="005102A7"/>
    <w:rsid w:val="005B6F8C"/>
    <w:rsid w:val="00710518"/>
    <w:rsid w:val="0075320E"/>
    <w:rsid w:val="00756927"/>
    <w:rsid w:val="008F13B3"/>
    <w:rsid w:val="00926B6B"/>
    <w:rsid w:val="009958AC"/>
    <w:rsid w:val="009A362C"/>
    <w:rsid w:val="00A6657B"/>
    <w:rsid w:val="00C1146F"/>
    <w:rsid w:val="00EB36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E297"/>
  <w15:chartTrackingRefBased/>
  <w15:docId w15:val="{003FEF37-705E-A04C-ABE7-785405B6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3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3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36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36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36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362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362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362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362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36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36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36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36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36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36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36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36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362C"/>
    <w:rPr>
      <w:rFonts w:eastAsiaTheme="majorEastAsia" w:cstheme="majorBidi"/>
      <w:color w:val="272727" w:themeColor="text1" w:themeTint="D8"/>
    </w:rPr>
  </w:style>
  <w:style w:type="paragraph" w:styleId="Titel">
    <w:name w:val="Title"/>
    <w:basedOn w:val="Standard"/>
    <w:next w:val="Standard"/>
    <w:link w:val="TitelZchn"/>
    <w:uiPriority w:val="10"/>
    <w:qFormat/>
    <w:rsid w:val="009A3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36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362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36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362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362C"/>
    <w:rPr>
      <w:i/>
      <w:iCs/>
      <w:color w:val="404040" w:themeColor="text1" w:themeTint="BF"/>
    </w:rPr>
  </w:style>
  <w:style w:type="paragraph" w:styleId="Listenabsatz">
    <w:name w:val="List Paragraph"/>
    <w:basedOn w:val="Standard"/>
    <w:uiPriority w:val="34"/>
    <w:qFormat/>
    <w:rsid w:val="009A362C"/>
    <w:pPr>
      <w:ind w:left="720"/>
      <w:contextualSpacing/>
    </w:pPr>
  </w:style>
  <w:style w:type="character" w:styleId="IntensiveHervorhebung">
    <w:name w:val="Intense Emphasis"/>
    <w:basedOn w:val="Absatz-Standardschriftart"/>
    <w:uiPriority w:val="21"/>
    <w:qFormat/>
    <w:rsid w:val="009A362C"/>
    <w:rPr>
      <w:i/>
      <w:iCs/>
      <w:color w:val="0F4761" w:themeColor="accent1" w:themeShade="BF"/>
    </w:rPr>
  </w:style>
  <w:style w:type="paragraph" w:styleId="IntensivesZitat">
    <w:name w:val="Intense Quote"/>
    <w:basedOn w:val="Standard"/>
    <w:next w:val="Standard"/>
    <w:link w:val="IntensivesZitatZchn"/>
    <w:uiPriority w:val="30"/>
    <w:qFormat/>
    <w:rsid w:val="009A3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362C"/>
    <w:rPr>
      <w:i/>
      <w:iCs/>
      <w:color w:val="0F4761" w:themeColor="accent1" w:themeShade="BF"/>
    </w:rPr>
  </w:style>
  <w:style w:type="character" w:styleId="IntensiverVerweis">
    <w:name w:val="Intense Reference"/>
    <w:basedOn w:val="Absatz-Standardschriftart"/>
    <w:uiPriority w:val="32"/>
    <w:qFormat/>
    <w:rsid w:val="009A362C"/>
    <w:rPr>
      <w:b/>
      <w:bCs/>
      <w:smallCaps/>
      <w:color w:val="0F4761" w:themeColor="accent1" w:themeShade="BF"/>
      <w:spacing w:val="5"/>
    </w:rPr>
  </w:style>
  <w:style w:type="paragraph" w:styleId="Kopfzeile">
    <w:name w:val="header"/>
    <w:basedOn w:val="Standard"/>
    <w:link w:val="KopfzeileZchn"/>
    <w:uiPriority w:val="99"/>
    <w:unhideWhenUsed/>
    <w:rsid w:val="009A36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362C"/>
  </w:style>
  <w:style w:type="paragraph" w:styleId="Fuzeile">
    <w:name w:val="footer"/>
    <w:basedOn w:val="Standard"/>
    <w:link w:val="FuzeileZchn"/>
    <w:uiPriority w:val="99"/>
    <w:unhideWhenUsed/>
    <w:rsid w:val="009A36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362C"/>
  </w:style>
  <w:style w:type="table" w:styleId="Tabellenraster">
    <w:name w:val="Table Grid"/>
    <w:basedOn w:val="NormaleTabelle"/>
    <w:uiPriority w:val="39"/>
    <w:rsid w:val="0075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C40D9"/>
    <w:rPr>
      <w:color w:val="467886" w:themeColor="hyperlink"/>
      <w:u w:val="single"/>
    </w:rPr>
  </w:style>
  <w:style w:type="character" w:styleId="NichtaufgelsteErwhnung">
    <w:name w:val="Unresolved Mention"/>
    <w:basedOn w:val="Absatz-Standardschriftart"/>
    <w:uiPriority w:val="99"/>
    <w:semiHidden/>
    <w:unhideWhenUsed/>
    <w:rsid w:val="004C40D9"/>
    <w:rPr>
      <w:color w:val="605E5C"/>
      <w:shd w:val="clear" w:color="auto" w:fill="E1DFDD"/>
    </w:rPr>
  </w:style>
  <w:style w:type="character" w:styleId="BesuchterLink">
    <w:name w:val="FollowedHyperlink"/>
    <w:basedOn w:val="Absatz-Standardschriftart"/>
    <w:uiPriority w:val="99"/>
    <w:semiHidden/>
    <w:unhideWhenUsed/>
    <w:rsid w:val="00C1146F"/>
    <w:rPr>
      <w:color w:val="96607D" w:themeColor="followedHyperlink"/>
      <w:u w:val="single"/>
    </w:rPr>
  </w:style>
  <w:style w:type="character" w:styleId="Hervorhebung">
    <w:name w:val="Emphasis"/>
    <w:basedOn w:val="Absatz-Standardschriftart"/>
    <w:uiPriority w:val="20"/>
    <w:qFormat/>
    <w:rsid w:val="00A6657B"/>
    <w:rPr>
      <w:i/>
      <w:iCs/>
    </w:rPr>
  </w:style>
  <w:style w:type="paragraph" w:styleId="KeinLeerraum">
    <w:name w:val="No Spacing"/>
    <w:uiPriority w:val="1"/>
    <w:qFormat/>
    <w:rsid w:val="00A66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zbildung.oenb.at/docroot/kaufkraftrechne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mpleshow.com/de/?ref=https%3A%2F%2Fvideos.simpleshow.com%2FW5wcksgSm1" TargetMode="External"/><Relationship Id="rId4" Type="http://schemas.openxmlformats.org/officeDocument/2006/relationships/settings" Target="settings.xml"/><Relationship Id="rId9" Type="http://schemas.openxmlformats.org/officeDocument/2006/relationships/hyperlink" Target="https://www.youtube.com/watch?v=HflqbCBD0E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0BCCBA835D0F40AA07B3527316BE28"/>
        <w:category>
          <w:name w:val="Allgemein"/>
          <w:gallery w:val="placeholder"/>
        </w:category>
        <w:types>
          <w:type w:val="bbPlcHdr"/>
        </w:types>
        <w:behaviors>
          <w:behavior w:val="content"/>
        </w:behaviors>
        <w:guid w:val="{317B7D8F-FA26-EC41-A179-769589064F62}"/>
      </w:docPartPr>
      <w:docPartBody>
        <w:p w:rsidR="00281012" w:rsidRDefault="00914901" w:rsidP="00914901">
          <w:pPr>
            <w:pStyle w:val="ED0BCCBA835D0F40AA07B3527316BE28"/>
          </w:pPr>
          <w:r>
            <w:rPr>
              <w:caps/>
              <w:color w:val="FFFFFF" w:themeColor="background1"/>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01"/>
    <w:rsid w:val="001F7445"/>
    <w:rsid w:val="00281012"/>
    <w:rsid w:val="003A660D"/>
    <w:rsid w:val="00416143"/>
    <w:rsid w:val="005B6F8C"/>
    <w:rsid w:val="009149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D0BCCBA835D0F40AA07B3527316BE28">
    <w:name w:val="ED0BCCBA835D0F40AA07B3527316BE28"/>
    <w:rsid w:val="00914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760A-4721-DA47-8301-8D484E59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Die Rolle der Geldpolitik in der EU</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Rolle der Geldpolitik in der EU</dc:title>
  <dc:subject/>
  <dc:creator>Katrin Huber</dc:creator>
  <cp:keywords/>
  <dc:description/>
  <cp:lastModifiedBy>Katrin Huber</cp:lastModifiedBy>
  <cp:revision>11</cp:revision>
  <dcterms:created xsi:type="dcterms:W3CDTF">2025-03-13T13:40:00Z</dcterms:created>
  <dcterms:modified xsi:type="dcterms:W3CDTF">2025-03-13T18:18:00Z</dcterms:modified>
</cp:coreProperties>
</file>