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685CBC30" w:rsidR="00C669A8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</w:p>
    <w:p w14:paraId="27A3F6AD" w14:textId="77777777" w:rsidR="001360CE" w:rsidRPr="00776CCD" w:rsidRDefault="001360CE" w:rsidP="001360CE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Die Sprache des Geldes …</w:t>
      </w:r>
    </w:p>
    <w:p w14:paraId="583B06F0" w14:textId="5CE2B84D" w:rsidR="001360CE" w:rsidRPr="001360CE" w:rsidRDefault="001360CE" w:rsidP="001360CE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lang w:val="de-DE"/>
        </w:rPr>
      </w:pPr>
      <w:r w:rsidRPr="001360CE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6D6458" wp14:editId="58AF5D5B">
                <wp:simplePos x="0" y="0"/>
                <wp:positionH relativeFrom="column">
                  <wp:posOffset>6985</wp:posOffset>
                </wp:positionH>
                <wp:positionV relativeFrom="paragraph">
                  <wp:posOffset>410845</wp:posOffset>
                </wp:positionV>
                <wp:extent cx="6092825" cy="458470"/>
                <wp:effectExtent l="0" t="0" r="3175" b="0"/>
                <wp:wrapSquare wrapText="bothSides"/>
                <wp:docPr id="14830244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4707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441F" w14:textId="42B52B66" w:rsidR="001360CE" w:rsidRPr="00CE0E5E" w:rsidRDefault="001360CE" w:rsidP="001360CE">
                            <w:pPr>
                              <w:spacing w:line="360" w:lineRule="auto"/>
                              <w:rPr>
                                <w:rFonts w:cs="Arial"/>
                                <w:i/>
                                <w:iCs/>
                                <w:szCs w:val="20"/>
                                <w:lang w:val="de-DE"/>
                              </w:rPr>
                            </w:pPr>
                            <w:r w:rsidRPr="00CE0E5E">
                              <w:rPr>
                                <w:rFonts w:cs="Arial"/>
                                <w:i/>
                                <w:iCs/>
                                <w:szCs w:val="20"/>
                                <w:lang w:val="de-DE"/>
                              </w:rPr>
                              <w:t>Ratenzahlung, Kredit, Sonderzahlungen, Überziehungsrahmen, Sollzinsen, Mahngebühr, Kontoauszug, Kreditkarte, Fixkosten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szCs w:val="20"/>
                                <w:lang w:val="de-DE"/>
                              </w:rPr>
                              <w:t>, Habenzinsen, Variable Kosten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D645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55pt;margin-top:32.35pt;width:479.75pt;height:36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" strokecolor="#747070" strokeweight="1pt">
                <v:stroke dashstyle="1 1"/>
                <v:path arrowok="t"/>
                <v:textbox>
                  <w:txbxContent>
                    <w:p w14:paraId="6C48441F" w14:textId="42B52B66" w:rsidR="001360CE" w:rsidRPr="00CE0E5E" w:rsidRDefault="001360CE" w:rsidP="001360CE">
                      <w:pPr>
                        <w:spacing w:line="360" w:lineRule="auto"/>
                        <w:rPr>
                          <w:rFonts w:cs="Arial"/>
                          <w:i/>
                          <w:iCs/>
                          <w:szCs w:val="20"/>
                          <w:lang w:val="de-DE"/>
                        </w:rPr>
                      </w:pPr>
                      <w:r w:rsidRPr="00CE0E5E">
                        <w:rPr>
                          <w:rFonts w:cs="Arial"/>
                          <w:i/>
                          <w:iCs/>
                          <w:szCs w:val="20"/>
                          <w:lang w:val="de-DE"/>
                        </w:rPr>
                        <w:t>Ratenzahlung, Kredit, Sonderzahlungen, Überziehungsrahmen, Sollzinsen, Mahngebühr, Kontoauszug, Kreditkarte, Fixkosten</w:t>
                      </w:r>
                      <w:r>
                        <w:rPr>
                          <w:rFonts w:cs="Arial"/>
                          <w:i/>
                          <w:iCs/>
                          <w:szCs w:val="20"/>
                          <w:lang w:val="de-DE"/>
                        </w:rPr>
                        <w:t>, Habenzinsen, Variable Kosten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60CE">
        <w:rPr>
          <w:rFonts w:cs="Arial"/>
          <w:b/>
          <w:color w:val="000000"/>
          <w:sz w:val="24"/>
          <w:lang w:val="de-DE"/>
        </w:rPr>
        <w:t>M</w:t>
      </w:r>
      <w:r>
        <w:rPr>
          <w:rFonts w:cs="Arial"/>
          <w:b/>
          <w:color w:val="000000"/>
          <w:sz w:val="24"/>
          <w:lang w:val="de-DE"/>
        </w:rPr>
        <w:t>6</w:t>
      </w:r>
      <w:r w:rsidRPr="001360CE">
        <w:rPr>
          <w:rFonts w:cs="Arial"/>
          <w:color w:val="000000"/>
          <w:sz w:val="24"/>
          <w:lang w:val="de-DE"/>
        </w:rPr>
        <w:t xml:space="preserve"> Zuordnungsübun</w:t>
      </w:r>
      <w:r w:rsidRPr="001360CE">
        <w:rPr>
          <w:rFonts w:cs="Arial"/>
          <w:sz w:val="24"/>
          <w:lang w:val="de-DE"/>
        </w:rPr>
        <w:t>g</w:t>
      </w:r>
    </w:p>
    <w:p w14:paraId="6B8618F3" w14:textId="77777777" w:rsidR="001360CE" w:rsidRDefault="001360CE" w:rsidP="001360CE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Cs w:val="20"/>
          <w:u w:val="single"/>
          <w:lang w:val="de-DE"/>
        </w:rPr>
      </w:pPr>
    </w:p>
    <w:p w14:paraId="513478FB" w14:textId="77777777" w:rsidR="001360CE" w:rsidRDefault="001360CE" w:rsidP="001360CE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Cs w:val="20"/>
          <w:u w:val="single"/>
          <w:lang w:val="de-DE"/>
        </w:rPr>
      </w:pPr>
    </w:p>
    <w:p w14:paraId="12781479" w14:textId="7F3C8E85" w:rsidR="001360CE" w:rsidRDefault="001360CE" w:rsidP="001360CE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  <w:r w:rsidRPr="00CE0E5E">
        <w:rPr>
          <w:rFonts w:cs="Arial"/>
          <w:b/>
          <w:bCs/>
          <w:color w:val="000000"/>
          <w:szCs w:val="20"/>
          <w:u w:val="single"/>
          <w:lang w:val="de-DE"/>
        </w:rPr>
        <w:t>Aufgabe:</w:t>
      </w:r>
      <w:r>
        <w:rPr>
          <w:rFonts w:cs="Arial"/>
          <w:color w:val="000000"/>
          <w:szCs w:val="20"/>
          <w:lang w:val="de-DE"/>
        </w:rPr>
        <w:t xml:space="preserve"> </w:t>
      </w:r>
      <w:r w:rsidRPr="00CE0E5E">
        <w:rPr>
          <w:rFonts w:cs="Arial"/>
          <w:color w:val="000000"/>
          <w:szCs w:val="20"/>
          <w:lang w:val="de-DE"/>
        </w:rPr>
        <w:t xml:space="preserve">Fülle die Lücken in der Spalte „Begriff“ und benütze dafür die Wörter aus dem Kasten. Vergleicht </w:t>
      </w:r>
      <w:r>
        <w:rPr>
          <w:rFonts w:cs="Arial"/>
          <w:color w:val="000000"/>
          <w:szCs w:val="20"/>
          <w:lang w:val="de-DE"/>
        </w:rPr>
        <w:t xml:space="preserve">eure Ergebnisse </w:t>
      </w:r>
      <w:r w:rsidRPr="00CE0E5E">
        <w:rPr>
          <w:rFonts w:cs="Arial"/>
          <w:color w:val="000000"/>
          <w:szCs w:val="20"/>
          <w:lang w:val="de-DE"/>
        </w:rPr>
        <w:t>danach in der Klasse</w:t>
      </w:r>
      <w:r>
        <w:rPr>
          <w:rFonts w:cs="Arial"/>
          <w:color w:val="000000"/>
          <w:szCs w:val="20"/>
          <w:lang w:val="de-DE"/>
        </w:rPr>
        <w:t>!</w:t>
      </w:r>
    </w:p>
    <w:p w14:paraId="23B6128B" w14:textId="77777777" w:rsidR="001360CE" w:rsidRPr="00CE0E5E" w:rsidRDefault="001360CE" w:rsidP="001360CE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6681"/>
      </w:tblGrid>
      <w:tr w:rsidR="001360CE" w:rsidRPr="0068647A" w14:paraId="47AAA01D" w14:textId="77777777" w:rsidTr="00A81A25">
        <w:tc>
          <w:tcPr>
            <w:tcW w:w="2518" w:type="dxa"/>
            <w:shd w:val="clear" w:color="auto" w:fill="009A5C"/>
            <w:vAlign w:val="center"/>
          </w:tcPr>
          <w:p w14:paraId="1AF214E6" w14:textId="77777777" w:rsidR="001360CE" w:rsidRPr="000E415B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8"/>
                <w:szCs w:val="28"/>
                <w:lang w:val="de-DE"/>
              </w:rPr>
            </w:pPr>
            <w:bookmarkStart w:id="0" w:name="_Hlk120170846"/>
            <w:r w:rsidRPr="000E415B">
              <w:rPr>
                <w:rFonts w:cs="Arial"/>
                <w:b/>
                <w:color w:val="000000"/>
                <w:sz w:val="28"/>
                <w:szCs w:val="28"/>
                <w:lang w:val="de-DE"/>
              </w:rPr>
              <w:t>Begriff</w:t>
            </w:r>
          </w:p>
        </w:tc>
        <w:tc>
          <w:tcPr>
            <w:tcW w:w="7229" w:type="dxa"/>
            <w:shd w:val="clear" w:color="auto" w:fill="009A5C"/>
            <w:vAlign w:val="center"/>
          </w:tcPr>
          <w:p w14:paraId="54186A16" w14:textId="77777777" w:rsidR="001360CE" w:rsidRPr="000E415B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8"/>
                <w:szCs w:val="28"/>
                <w:lang w:val="de-DE"/>
              </w:rPr>
            </w:pPr>
            <w:r w:rsidRPr="000E415B">
              <w:rPr>
                <w:rFonts w:cs="Arial"/>
                <w:b/>
                <w:color w:val="000000"/>
                <w:sz w:val="28"/>
                <w:szCs w:val="28"/>
                <w:lang w:val="de-DE"/>
              </w:rPr>
              <w:t>Definition</w:t>
            </w:r>
          </w:p>
        </w:tc>
      </w:tr>
      <w:tr w:rsidR="001360CE" w:rsidRPr="0068647A" w14:paraId="0C7BA5E1" w14:textId="77777777" w:rsidTr="00A81A25">
        <w:tc>
          <w:tcPr>
            <w:tcW w:w="2518" w:type="dxa"/>
            <w:vAlign w:val="center"/>
          </w:tcPr>
          <w:p w14:paraId="77CD555E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1B50F960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Banken verborgen Geld für einen bestimmten Zeitraum.</w:t>
            </w:r>
          </w:p>
        </w:tc>
      </w:tr>
      <w:tr w:rsidR="001360CE" w:rsidRPr="0068647A" w14:paraId="38EEF9AC" w14:textId="77777777" w:rsidTr="00A81A25">
        <w:tc>
          <w:tcPr>
            <w:tcW w:w="2518" w:type="dxa"/>
            <w:vAlign w:val="center"/>
          </w:tcPr>
          <w:p w14:paraId="7E975F95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  <w:p w14:paraId="103AD5D6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3C2A2C36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Diese Ausgaben bleiben in einem Haushalt immer gleich. 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(Schwankende Kosten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 </w:t>
            </w:r>
            <w:r w:rsidRPr="003E30EA">
              <w:rPr>
                <w:rFonts w:cs="Arial"/>
                <w:bCs/>
                <w:color w:val="000000"/>
                <w:szCs w:val="20"/>
                <w:lang w:val="de-DE"/>
              </w:rPr>
              <w:t>–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z.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 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B. der Verbrauch von Gas oder Strom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</w:t>
            </w:r>
            <w:r w:rsidRPr="003E30EA">
              <w:rPr>
                <w:rFonts w:cs="Arial"/>
                <w:bCs/>
                <w:color w:val="000000"/>
                <w:szCs w:val="20"/>
                <w:lang w:val="de-DE"/>
              </w:rPr>
              <w:t>–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zählen nicht dazu).</w:t>
            </w:r>
          </w:p>
        </w:tc>
      </w:tr>
      <w:tr w:rsidR="001360CE" w:rsidRPr="0068647A" w14:paraId="56775F5D" w14:textId="77777777" w:rsidTr="00A81A25">
        <w:tc>
          <w:tcPr>
            <w:tcW w:w="2518" w:type="dxa"/>
            <w:vAlign w:val="center"/>
          </w:tcPr>
          <w:p w14:paraId="42ECFE19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  <w:p w14:paraId="18DCCAEB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696157EF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Wenn man 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einen fixen Job hat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, bezieht man in Österreich 12 Monatsgehälter. </w:t>
            </w:r>
            <w:r w:rsidRPr="00DD0C31">
              <w:rPr>
                <w:rFonts w:cs="Arial"/>
                <w:bCs/>
                <w:color w:val="000000"/>
                <w:szCs w:val="20"/>
                <w:lang w:val="de-DE"/>
              </w:rPr>
              <w:t>Zusätzlich erhalten Arbeitskräfte, die einen Kollektivvertrag oder Arbeitsvertrag haben, noch Urlaubsgeld oder Weihnachtsgeld. Das wird in Österreich auch als 13.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</w:t>
            </w:r>
            <w:r w:rsidRPr="00DD0C31">
              <w:rPr>
                <w:rFonts w:cs="Arial"/>
                <w:bCs/>
                <w:color w:val="000000"/>
                <w:szCs w:val="20"/>
                <w:lang w:val="de-DE"/>
              </w:rPr>
              <w:t>und 14.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</w:t>
            </w:r>
            <w:r w:rsidRPr="00DD0C31">
              <w:rPr>
                <w:rFonts w:cs="Arial"/>
                <w:bCs/>
                <w:color w:val="000000"/>
                <w:szCs w:val="20"/>
                <w:lang w:val="de-DE"/>
              </w:rPr>
              <w:t>Gehalt bezeichnet.</w:t>
            </w:r>
          </w:p>
        </w:tc>
      </w:tr>
      <w:tr w:rsidR="001360CE" w:rsidRPr="0068647A" w14:paraId="107C240E" w14:textId="77777777" w:rsidTr="00A81A25">
        <w:tc>
          <w:tcPr>
            <w:tcW w:w="2518" w:type="dxa"/>
            <w:vAlign w:val="center"/>
          </w:tcPr>
          <w:p w14:paraId="3C925012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  <w:p w14:paraId="5416A1D9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034BDD79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Vom Bankkonto kann mehr Geld abgehoben werden, als man dort angespart hat. Wie viele Schulden man anhäuf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en darf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, ist genau geregelt.</w:t>
            </w:r>
          </w:p>
        </w:tc>
      </w:tr>
      <w:tr w:rsidR="001360CE" w:rsidRPr="0068647A" w14:paraId="64AB8345" w14:textId="77777777" w:rsidTr="00A81A25">
        <w:tc>
          <w:tcPr>
            <w:tcW w:w="2518" w:type="dxa"/>
            <w:vAlign w:val="center"/>
          </w:tcPr>
          <w:p w14:paraId="057FF04E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183281D5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Wenn man Geld ausborgt, bezahlt man dafür. Wenn man Geld anspart, erhält man dafür Geld.</w:t>
            </w:r>
          </w:p>
        </w:tc>
      </w:tr>
      <w:tr w:rsidR="001360CE" w:rsidRPr="0068647A" w14:paraId="503CD305" w14:textId="77777777" w:rsidTr="00A81A25">
        <w:tc>
          <w:tcPr>
            <w:tcW w:w="2518" w:type="dxa"/>
            <w:vAlign w:val="center"/>
          </w:tcPr>
          <w:p w14:paraId="22D7E56E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  <w:p w14:paraId="4F896E00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664DC2F3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Beim Einkauf teurer Güter wird Konsumentinnen und Konsumenten angeboten, das Produkt in Kleinbeträgen über die Dauer mehrere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r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 Monate zu zahlen. In Summe ist das 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immer 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teurer als der ursprüngliche Preis.</w:t>
            </w:r>
          </w:p>
        </w:tc>
      </w:tr>
      <w:tr w:rsidR="001360CE" w:rsidRPr="0068647A" w14:paraId="6E744F23" w14:textId="77777777" w:rsidTr="00A81A25">
        <w:tc>
          <w:tcPr>
            <w:tcW w:w="2518" w:type="dxa"/>
            <w:vAlign w:val="center"/>
          </w:tcPr>
          <w:p w14:paraId="4878527D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  <w:p w14:paraId="4B015FEC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0EC9CAC3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Mit diesem Zahlungsmittel kann man Geld ausgeben, das erst im Nachhinein vom Konto abgebucht wird. Man kann dabei leicht die Kontrolle über das Geld verlieren.</w:t>
            </w:r>
          </w:p>
        </w:tc>
      </w:tr>
      <w:tr w:rsidR="001360CE" w:rsidRPr="0068647A" w14:paraId="1E972198" w14:textId="77777777" w:rsidTr="00A81A25">
        <w:tc>
          <w:tcPr>
            <w:tcW w:w="2518" w:type="dxa"/>
            <w:vAlign w:val="center"/>
          </w:tcPr>
          <w:p w14:paraId="6CD1C7C7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46EA1E3F" w14:textId="5873CC8A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Diese Ausgaben in einem Haushalt 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verändern sich stetig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. 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(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Dazu zählen s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chwankende Kosten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 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wie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 xml:space="preserve"> der Verbrauch von Gas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, </w:t>
            </w:r>
            <w:r w:rsidRPr="0068647A">
              <w:rPr>
                <w:rFonts w:cs="Arial"/>
                <w:bCs/>
                <w:color w:val="000000"/>
                <w:szCs w:val="20"/>
                <w:lang w:val="de-DE"/>
              </w:rPr>
              <w:t>Strom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, Kosten für Lebensmittel</w:t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>).</w:t>
            </w:r>
          </w:p>
        </w:tc>
      </w:tr>
      <w:tr w:rsidR="001360CE" w:rsidRPr="0068647A" w14:paraId="0D54755B" w14:textId="77777777" w:rsidTr="00A81A25">
        <w:tc>
          <w:tcPr>
            <w:tcW w:w="2518" w:type="dxa"/>
            <w:vAlign w:val="center"/>
          </w:tcPr>
          <w:p w14:paraId="507E2192" w14:textId="77777777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i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7229" w:type="dxa"/>
            <w:vAlign w:val="center"/>
          </w:tcPr>
          <w:p w14:paraId="11DAAE11" w14:textId="3025DCEB" w:rsidR="001360CE" w:rsidRPr="0068647A" w:rsidRDefault="001360CE" w:rsidP="00A81A25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t>Wenn man der Bank Geld leiht, bezahlt die Bank für diese Leihgabe des Geldes Zinsen</w:t>
            </w:r>
          </w:p>
        </w:tc>
      </w:tr>
      <w:bookmarkEnd w:id="0"/>
    </w:tbl>
    <w:p w14:paraId="6A4956F9" w14:textId="77777777" w:rsidR="007049F6" w:rsidRPr="007049F6" w:rsidRDefault="007049F6" w:rsidP="007049F6"/>
    <w:sectPr w:rsidR="007049F6" w:rsidRPr="007049F6" w:rsidSect="00C669A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A9D7" w14:textId="77777777" w:rsidR="007F5368" w:rsidRDefault="007F5368" w:rsidP="00733BCB">
      <w:r>
        <w:separator/>
      </w:r>
    </w:p>
  </w:endnote>
  <w:endnote w:type="continuationSeparator" w:id="0">
    <w:p w14:paraId="0D2A5B4E" w14:textId="77777777" w:rsidR="007F5368" w:rsidRDefault="007F5368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15F54E04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905B7E" w:rsidRPr="00905B7E">
      <w:rPr>
        <w:rFonts w:cs="Arial"/>
        <w:b/>
        <w:color w:val="7F7F7F"/>
        <w:sz w:val="14"/>
        <w:szCs w:val="14"/>
      </w:rPr>
      <w:t>Schulden: Wege aus der Schuldenfalle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905B7E" w:rsidRPr="00905B7E">
      <w:t xml:space="preserve"> </w:t>
    </w:r>
    <w:r w:rsidR="00905B7E" w:rsidRPr="00905B7E">
      <w:rPr>
        <w:rFonts w:cs="Arial"/>
        <w:bCs/>
        <w:color w:val="7F7F7F"/>
        <w:sz w:val="14"/>
        <w:szCs w:val="14"/>
      </w:rPr>
      <w:t>https://gwb.schule.at/course/view.php?id=1808</w:t>
    </w:r>
    <w:r w:rsidR="00034925" w:rsidRPr="00034925">
      <w:rPr>
        <w:rFonts w:cs="Arial"/>
        <w:bCs/>
        <w:color w:val="7F7F7F"/>
        <w:sz w:val="14"/>
        <w:szCs w:val="14"/>
      </w:rPr>
      <w:t xml:space="preserve"> (</w:t>
    </w:r>
    <w:r w:rsidR="00905B7E">
      <w:rPr>
        <w:rFonts w:cs="Arial"/>
        <w:bCs/>
        <w:color w:val="7F7F7F"/>
        <w:sz w:val="14"/>
        <w:szCs w:val="14"/>
      </w:rPr>
      <w:t>18.09.2025</w:t>
    </w:r>
    <w:r w:rsidR="00034925"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6B3C" w14:textId="77777777" w:rsidR="007F5368" w:rsidRDefault="007F5368" w:rsidP="00733BCB">
      <w:r>
        <w:separator/>
      </w:r>
    </w:p>
  </w:footnote>
  <w:footnote w:type="continuationSeparator" w:id="0">
    <w:p w14:paraId="0DF811BB" w14:textId="77777777" w:rsidR="007F5368" w:rsidRDefault="007F5368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54EF3E7D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r w:rsidR="00905B7E">
      <w:rPr>
        <w:rFonts w:cs="Arial"/>
        <w:b/>
        <w:color w:val="F2F2F2"/>
        <w:sz w:val="16"/>
        <w:szCs w:val="16"/>
      </w:rPr>
      <w:t>Schulden: Wege aus der Schuldenfalle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761"/>
    <w:multiLevelType w:val="hybridMultilevel"/>
    <w:tmpl w:val="1B2EF9B2"/>
    <w:lvl w:ilvl="0" w:tplc="C0A617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5"/>
  </w:num>
  <w:num w:numId="2" w16cid:durableId="612977478">
    <w:abstractNumId w:val="5"/>
  </w:num>
  <w:num w:numId="3" w16cid:durableId="604582313">
    <w:abstractNumId w:val="4"/>
  </w:num>
  <w:num w:numId="4" w16cid:durableId="814251136">
    <w:abstractNumId w:val="2"/>
  </w:num>
  <w:num w:numId="5" w16cid:durableId="1716195751">
    <w:abstractNumId w:val="3"/>
  </w:num>
  <w:num w:numId="6" w16cid:durableId="396271">
    <w:abstractNumId w:val="3"/>
  </w:num>
  <w:num w:numId="7" w16cid:durableId="784883631">
    <w:abstractNumId w:val="1"/>
  </w:num>
  <w:num w:numId="8" w16cid:durableId="1101533204">
    <w:abstractNumId w:val="3"/>
  </w:num>
  <w:num w:numId="9" w16cid:durableId="197595925">
    <w:abstractNumId w:val="3"/>
  </w:num>
  <w:num w:numId="10" w16cid:durableId="14589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360CE"/>
    <w:rsid w:val="00174563"/>
    <w:rsid w:val="00194134"/>
    <w:rsid w:val="00222E27"/>
    <w:rsid w:val="002C594C"/>
    <w:rsid w:val="002D56CC"/>
    <w:rsid w:val="002F205F"/>
    <w:rsid w:val="00312AE0"/>
    <w:rsid w:val="00322FE5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7F5368"/>
    <w:rsid w:val="00813EBF"/>
    <w:rsid w:val="00836F5C"/>
    <w:rsid w:val="00856331"/>
    <w:rsid w:val="00867220"/>
    <w:rsid w:val="008A31B6"/>
    <w:rsid w:val="008A772D"/>
    <w:rsid w:val="008B1EC0"/>
    <w:rsid w:val="008B3CD2"/>
    <w:rsid w:val="00905B7E"/>
    <w:rsid w:val="009271C5"/>
    <w:rsid w:val="0096246C"/>
    <w:rsid w:val="009D375E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96C8C"/>
    <w:rsid w:val="00EF617F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1320</Characters>
  <Application>Microsoft Office Word</Application>
  <DocSecurity>0</DocSecurity>
  <Lines>52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2025-09-18T11:39:00Z</cp:lastPrinted>
  <dcterms:created xsi:type="dcterms:W3CDTF">2025-09-18T11:39:00Z</dcterms:created>
  <dcterms:modified xsi:type="dcterms:W3CDTF">2025-09-18T11:39:00Z</dcterms:modified>
</cp:coreProperties>
</file>