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BE3E" w14:textId="77777777" w:rsidR="00A45D51" w:rsidRPr="002A5F0F" w:rsidRDefault="00A45D51" w:rsidP="00A45D51">
      <w:pPr>
        <w:tabs>
          <w:tab w:val="left" w:pos="1440"/>
          <w:tab w:val="left" w:pos="1669"/>
        </w:tabs>
        <w:autoSpaceDE w:val="0"/>
        <w:autoSpaceDN w:val="0"/>
        <w:adjustRightInd w:val="0"/>
        <w:spacing w:line="276" w:lineRule="auto"/>
        <w:rPr>
          <w:rFonts w:ascii="Arial" w:hAnsi="Arial" w:cs="Arial"/>
          <w:b/>
          <w:color w:val="A33B85"/>
          <w:sz w:val="36"/>
          <w:szCs w:val="36"/>
          <w:lang w:val="de-DE"/>
        </w:rPr>
      </w:pPr>
      <w:r>
        <w:rPr>
          <w:rFonts w:ascii="Arial" w:hAnsi="Arial" w:cs="Arial"/>
          <w:b/>
          <w:color w:val="009A5C"/>
          <w:sz w:val="36"/>
          <w:szCs w:val="36"/>
          <w:lang w:val="de-DE"/>
        </w:rPr>
        <w:t>Frauenrechte in Mexiko</w:t>
      </w:r>
    </w:p>
    <w:p w14:paraId="6C9E17A1" w14:textId="77777777" w:rsidR="00A45D51" w:rsidRDefault="00A45D51" w:rsidP="00A45D51">
      <w:pPr>
        <w:rPr>
          <w:rFonts w:ascii="Arial" w:eastAsiaTheme="minorHAnsi" w:hAnsi="Arial" w:cs="Arial"/>
          <w:b/>
          <w:color w:val="000000" w:themeColor="text1"/>
          <w:lang w:val="de-DE" w:eastAsia="en-US"/>
        </w:rPr>
      </w:pPr>
      <w:r w:rsidRPr="00AD492B">
        <w:rPr>
          <w:rFonts w:ascii="Arial" w:hAnsi="Arial" w:cs="Arial"/>
          <w:b/>
          <w:color w:val="000000" w:themeColor="text1"/>
          <w:lang w:val="de-DE"/>
        </w:rPr>
        <w:t>M</w:t>
      </w:r>
      <w:r>
        <w:rPr>
          <w:rFonts w:ascii="Arial" w:hAnsi="Arial" w:cs="Arial"/>
          <w:b/>
          <w:color w:val="000000" w:themeColor="text1"/>
          <w:lang w:val="de-DE"/>
        </w:rPr>
        <w:t>8</w:t>
      </w:r>
      <w:r w:rsidRPr="00AD492B">
        <w:rPr>
          <w:rFonts w:ascii="Arial" w:hAnsi="Arial" w:cs="Arial"/>
          <w:color w:val="000000" w:themeColor="text1"/>
          <w:lang w:val="de-DE"/>
        </w:rPr>
        <w:t xml:space="preserve"> </w:t>
      </w:r>
      <w:r>
        <w:rPr>
          <w:rFonts w:ascii="Arial" w:hAnsi="Arial" w:cs="Arial"/>
          <w:color w:val="000000" w:themeColor="text1"/>
          <w:lang w:val="de-DE"/>
        </w:rPr>
        <w:t>Tabelle</w:t>
      </w:r>
    </w:p>
    <w:p w14:paraId="07FD63CB" w14:textId="77777777" w:rsidR="00A45D51" w:rsidRDefault="00A45D51" w:rsidP="00A45D51">
      <w:pPr>
        <w:autoSpaceDE w:val="0"/>
        <w:autoSpaceDN w:val="0"/>
        <w:adjustRightInd w:val="0"/>
        <w:spacing w:line="360" w:lineRule="auto"/>
        <w:ind w:right="829"/>
        <w:rPr>
          <w:rFonts w:ascii="Arial" w:eastAsiaTheme="minorHAnsi" w:hAnsi="Arial" w:cs="Arial"/>
          <w:b/>
          <w:color w:val="000000" w:themeColor="text1"/>
          <w:sz w:val="20"/>
          <w:szCs w:val="20"/>
          <w:lang w:val="de-DE" w:eastAsia="en-US"/>
        </w:rPr>
      </w:pPr>
    </w:p>
    <w:tbl>
      <w:tblPr>
        <w:tblStyle w:val="Tabellenraster"/>
        <w:tblW w:w="0" w:type="auto"/>
        <w:tblCellMar>
          <w:top w:w="142" w:type="dxa"/>
          <w:left w:w="142" w:type="dxa"/>
          <w:bottom w:w="142" w:type="dxa"/>
          <w:right w:w="142" w:type="dxa"/>
        </w:tblCellMar>
        <w:tblLook w:val="04A0" w:firstRow="1" w:lastRow="0" w:firstColumn="1" w:lastColumn="0" w:noHBand="0" w:noVBand="1"/>
      </w:tblPr>
      <w:tblGrid>
        <w:gridCol w:w="1125"/>
        <w:gridCol w:w="839"/>
        <w:gridCol w:w="7098"/>
      </w:tblGrid>
      <w:tr w:rsidR="00A45D51" w14:paraId="473E227E" w14:textId="77777777" w:rsidTr="00482582">
        <w:tc>
          <w:tcPr>
            <w:tcW w:w="1129" w:type="dxa"/>
          </w:tcPr>
          <w:p w14:paraId="1EEA103B" w14:textId="77777777" w:rsidR="00A45D51" w:rsidRPr="00E27560" w:rsidRDefault="00A45D51" w:rsidP="00482582">
            <w:pPr>
              <w:rPr>
                <w:rFonts w:ascii="Arial" w:eastAsiaTheme="minorHAnsi" w:hAnsi="Arial" w:cs="Arial"/>
                <w:b/>
                <w:color w:val="000000" w:themeColor="text1"/>
                <w:sz w:val="20"/>
                <w:szCs w:val="20"/>
                <w:lang w:val="de-DE" w:eastAsia="en-US"/>
              </w:rPr>
            </w:pPr>
            <w:r w:rsidRPr="00E27560">
              <w:rPr>
                <w:rFonts w:ascii="Arial" w:eastAsiaTheme="minorHAnsi" w:hAnsi="Arial" w:cs="Arial"/>
                <w:b/>
                <w:color w:val="000000" w:themeColor="text1"/>
                <w:sz w:val="20"/>
                <w:szCs w:val="20"/>
                <w:lang w:val="de-DE" w:eastAsia="en-US"/>
              </w:rPr>
              <w:t>Nummer</w:t>
            </w:r>
          </w:p>
        </w:tc>
        <w:tc>
          <w:tcPr>
            <w:tcW w:w="851" w:type="dxa"/>
          </w:tcPr>
          <w:p w14:paraId="147D64BA" w14:textId="77777777" w:rsidR="00A45D51" w:rsidRPr="00E27560" w:rsidRDefault="00A45D51" w:rsidP="00482582">
            <w:pPr>
              <w:rPr>
                <w:rFonts w:ascii="Arial" w:eastAsiaTheme="minorHAnsi" w:hAnsi="Arial" w:cs="Arial"/>
                <w:b/>
                <w:color w:val="000000" w:themeColor="text1"/>
                <w:sz w:val="20"/>
                <w:szCs w:val="20"/>
                <w:lang w:val="de-DE" w:eastAsia="en-US"/>
              </w:rPr>
            </w:pPr>
            <w:r w:rsidRPr="00E27560">
              <w:rPr>
                <w:rFonts w:ascii="Arial" w:eastAsiaTheme="minorHAnsi" w:hAnsi="Arial" w:cs="Arial"/>
                <w:b/>
                <w:color w:val="000000" w:themeColor="text1"/>
                <w:sz w:val="20"/>
                <w:szCs w:val="20"/>
                <w:lang w:val="de-DE" w:eastAsia="en-US"/>
              </w:rPr>
              <w:t>Jahr</w:t>
            </w:r>
          </w:p>
        </w:tc>
        <w:tc>
          <w:tcPr>
            <w:tcW w:w="7628" w:type="dxa"/>
          </w:tcPr>
          <w:p w14:paraId="298DFD60" w14:textId="77777777" w:rsidR="00A45D51" w:rsidRPr="00E27560" w:rsidRDefault="00A45D51" w:rsidP="00482582">
            <w:pPr>
              <w:rPr>
                <w:rFonts w:ascii="Arial" w:eastAsiaTheme="minorHAnsi" w:hAnsi="Arial" w:cs="Arial"/>
                <w:b/>
                <w:color w:val="000000" w:themeColor="text1"/>
                <w:sz w:val="20"/>
                <w:szCs w:val="20"/>
                <w:lang w:val="de-DE" w:eastAsia="en-US"/>
              </w:rPr>
            </w:pPr>
            <w:r w:rsidRPr="00E27560">
              <w:rPr>
                <w:rFonts w:ascii="Arial" w:eastAsiaTheme="minorHAnsi" w:hAnsi="Arial" w:cs="Arial"/>
                <w:b/>
                <w:color w:val="000000" w:themeColor="text1"/>
                <w:sz w:val="20"/>
                <w:szCs w:val="20"/>
                <w:lang w:val="de-DE" w:eastAsia="en-US"/>
              </w:rPr>
              <w:t>Ereignis</w:t>
            </w:r>
          </w:p>
        </w:tc>
      </w:tr>
      <w:tr w:rsidR="00A45D51" w14:paraId="68998D3B" w14:textId="77777777" w:rsidTr="00482582">
        <w:tc>
          <w:tcPr>
            <w:tcW w:w="1129" w:type="dxa"/>
          </w:tcPr>
          <w:p w14:paraId="35BE14B7"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w:t>
            </w:r>
          </w:p>
        </w:tc>
        <w:tc>
          <w:tcPr>
            <w:tcW w:w="851" w:type="dxa"/>
          </w:tcPr>
          <w:p w14:paraId="582D7B42"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1953</w:t>
            </w:r>
          </w:p>
        </w:tc>
        <w:tc>
          <w:tcPr>
            <w:tcW w:w="7628" w:type="dxa"/>
          </w:tcPr>
          <w:p w14:paraId="63DE7774"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sidRPr="004261D8">
              <w:rPr>
                <w:rFonts w:ascii="Arial" w:eastAsiaTheme="minorHAnsi" w:hAnsi="Arial" w:cs="Arial"/>
                <w:color w:val="000000" w:themeColor="text1"/>
                <w:sz w:val="20"/>
                <w:szCs w:val="20"/>
                <w:lang w:val="de-DE" w:eastAsia="en-US"/>
              </w:rPr>
              <w:t>Einführung des Frauenwahlrechts (Frauen dürfen ab nun an Wahlen teilnehmen).</w:t>
            </w:r>
          </w:p>
        </w:tc>
      </w:tr>
      <w:tr w:rsidR="00A45D51" w14:paraId="59F74B35" w14:textId="77777777" w:rsidTr="00482582">
        <w:tc>
          <w:tcPr>
            <w:tcW w:w="1129" w:type="dxa"/>
          </w:tcPr>
          <w:p w14:paraId="65CC0672"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2</w:t>
            </w:r>
          </w:p>
        </w:tc>
        <w:tc>
          <w:tcPr>
            <w:tcW w:w="851" w:type="dxa"/>
          </w:tcPr>
          <w:p w14:paraId="5F202079"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1955</w:t>
            </w:r>
          </w:p>
        </w:tc>
        <w:tc>
          <w:tcPr>
            <w:tcW w:w="7628" w:type="dxa"/>
          </w:tcPr>
          <w:p w14:paraId="6E8AB2B9"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sidRPr="004261D8">
              <w:rPr>
                <w:rFonts w:ascii="Arial" w:eastAsiaTheme="minorHAnsi" w:hAnsi="Arial" w:cs="Arial"/>
                <w:color w:val="000000" w:themeColor="text1"/>
                <w:sz w:val="20"/>
                <w:szCs w:val="20"/>
                <w:lang w:val="de-DE" w:eastAsia="en-US"/>
              </w:rPr>
              <w:t>Frauen haben die Aufgabe, sich um Familie und Haus zu kümmern und ordnen sich Männern unter.</w:t>
            </w:r>
          </w:p>
        </w:tc>
      </w:tr>
      <w:tr w:rsidR="00A45D51" w14:paraId="3901B9FA" w14:textId="77777777" w:rsidTr="00482582">
        <w:tc>
          <w:tcPr>
            <w:tcW w:w="1129" w:type="dxa"/>
          </w:tcPr>
          <w:p w14:paraId="7F0D0E96"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3</w:t>
            </w:r>
          </w:p>
        </w:tc>
        <w:tc>
          <w:tcPr>
            <w:tcW w:w="851" w:type="dxa"/>
          </w:tcPr>
          <w:p w14:paraId="32F584A2"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1968</w:t>
            </w:r>
          </w:p>
        </w:tc>
        <w:tc>
          <w:tcPr>
            <w:tcW w:w="7628" w:type="dxa"/>
          </w:tcPr>
          <w:p w14:paraId="0FEE034F"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sidRPr="004261D8">
              <w:rPr>
                <w:rFonts w:ascii="Arial" w:eastAsiaTheme="minorHAnsi" w:hAnsi="Arial" w:cs="Arial"/>
                <w:color w:val="000000" w:themeColor="text1"/>
                <w:sz w:val="20"/>
                <w:szCs w:val="20"/>
                <w:lang w:val="de-DE" w:eastAsia="en-US"/>
              </w:rPr>
              <w:t>Es bilden sich an Universitäten erste Gruppen von Frauen, die für Frauenrechte kämpfen.</w:t>
            </w:r>
          </w:p>
        </w:tc>
      </w:tr>
      <w:tr w:rsidR="00A45D51" w14:paraId="58987693" w14:textId="77777777" w:rsidTr="00482582">
        <w:tc>
          <w:tcPr>
            <w:tcW w:w="1129" w:type="dxa"/>
          </w:tcPr>
          <w:p w14:paraId="12488237"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4</w:t>
            </w:r>
          </w:p>
        </w:tc>
        <w:tc>
          <w:tcPr>
            <w:tcW w:w="851" w:type="dxa"/>
          </w:tcPr>
          <w:p w14:paraId="02B83C05"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1971</w:t>
            </w:r>
          </w:p>
        </w:tc>
        <w:tc>
          <w:tcPr>
            <w:tcW w:w="7628" w:type="dxa"/>
          </w:tcPr>
          <w:p w14:paraId="70E33C98"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sidRPr="004261D8">
              <w:rPr>
                <w:rFonts w:ascii="Arial" w:eastAsiaTheme="minorHAnsi" w:hAnsi="Arial" w:cs="Arial"/>
                <w:color w:val="000000" w:themeColor="text1"/>
                <w:sz w:val="20"/>
                <w:szCs w:val="20"/>
                <w:lang w:val="de-DE" w:eastAsia="en-US"/>
              </w:rPr>
              <w:t>Proteste gegen den mexikanischen Mutterkult am 10. Mai 1971 (Muttertag) durch Feministinnen (Frauenrechtlerinnen). Sie kritisieren, dass Frauen auf ihre Mutterrolle festgelegt werden.</w:t>
            </w:r>
          </w:p>
        </w:tc>
      </w:tr>
      <w:tr w:rsidR="00A45D51" w14:paraId="1BA1B743" w14:textId="77777777" w:rsidTr="00482582">
        <w:tc>
          <w:tcPr>
            <w:tcW w:w="1129" w:type="dxa"/>
          </w:tcPr>
          <w:p w14:paraId="6C09D0C6"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5</w:t>
            </w:r>
          </w:p>
        </w:tc>
        <w:tc>
          <w:tcPr>
            <w:tcW w:w="851" w:type="dxa"/>
          </w:tcPr>
          <w:p w14:paraId="4F9B20EF"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1974</w:t>
            </w:r>
          </w:p>
        </w:tc>
        <w:tc>
          <w:tcPr>
            <w:tcW w:w="7628" w:type="dxa"/>
          </w:tcPr>
          <w:p w14:paraId="0D4B44F9"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sidRPr="004261D8">
              <w:rPr>
                <w:rFonts w:ascii="Arial" w:eastAsiaTheme="minorHAnsi" w:hAnsi="Arial" w:cs="Arial"/>
                <w:color w:val="000000" w:themeColor="text1"/>
                <w:sz w:val="20"/>
                <w:szCs w:val="20"/>
                <w:lang w:val="de-DE" w:eastAsia="en-US"/>
              </w:rPr>
              <w:t xml:space="preserve">Gewalt </w:t>
            </w:r>
            <w:r>
              <w:rPr>
                <w:rFonts w:ascii="Arial" w:eastAsiaTheme="minorHAnsi" w:hAnsi="Arial" w:cs="Arial"/>
                <w:color w:val="000000" w:themeColor="text1"/>
                <w:sz w:val="20"/>
                <w:szCs w:val="20"/>
                <w:lang w:val="de-DE" w:eastAsia="en-US"/>
              </w:rPr>
              <w:t xml:space="preserve">in der Familie </w:t>
            </w:r>
            <w:r w:rsidRPr="004261D8">
              <w:rPr>
                <w:rFonts w:ascii="Arial" w:eastAsiaTheme="minorHAnsi" w:hAnsi="Arial" w:cs="Arial"/>
                <w:color w:val="000000" w:themeColor="text1"/>
                <w:sz w:val="20"/>
                <w:szCs w:val="20"/>
                <w:lang w:val="de-DE" w:eastAsia="en-US"/>
              </w:rPr>
              <w:t>betrifft sehr viele Frauen in Mexiko. Auch Vergewaltigungen kommen häufig vor, sie bleiben jedoch ein Tabu, das in der Öffentlichkeit nicht angesprochen wird.</w:t>
            </w:r>
          </w:p>
        </w:tc>
      </w:tr>
      <w:tr w:rsidR="00A45D51" w14:paraId="62150F92" w14:textId="77777777" w:rsidTr="00482582">
        <w:tc>
          <w:tcPr>
            <w:tcW w:w="1129" w:type="dxa"/>
          </w:tcPr>
          <w:p w14:paraId="26003EA9"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6</w:t>
            </w:r>
          </w:p>
        </w:tc>
        <w:tc>
          <w:tcPr>
            <w:tcW w:w="851" w:type="dxa"/>
          </w:tcPr>
          <w:p w14:paraId="7270B182"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1975</w:t>
            </w:r>
          </w:p>
        </w:tc>
        <w:tc>
          <w:tcPr>
            <w:tcW w:w="7628" w:type="dxa"/>
          </w:tcPr>
          <w:p w14:paraId="6856B971"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sidRPr="004261D8">
              <w:rPr>
                <w:rFonts w:ascii="Arial" w:eastAsiaTheme="minorHAnsi" w:hAnsi="Arial" w:cs="Arial"/>
                <w:color w:val="000000" w:themeColor="text1"/>
                <w:sz w:val="20"/>
                <w:szCs w:val="20"/>
                <w:lang w:val="de-DE" w:eastAsia="en-US"/>
              </w:rPr>
              <w:t>Erster Weltfrauentag der Vereinten Nationen (UNO) in Mexiko City. In der Folge bemühte sich die UNO, die Situation und den Lebensstandard von Frauen in Entwicklungsländern zu verbessern.</w:t>
            </w:r>
          </w:p>
        </w:tc>
      </w:tr>
      <w:tr w:rsidR="00A45D51" w14:paraId="5064DCEC" w14:textId="77777777" w:rsidTr="00482582">
        <w:tc>
          <w:tcPr>
            <w:tcW w:w="1129" w:type="dxa"/>
          </w:tcPr>
          <w:p w14:paraId="5D0346FA"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7</w:t>
            </w:r>
          </w:p>
        </w:tc>
        <w:tc>
          <w:tcPr>
            <w:tcW w:w="851" w:type="dxa"/>
          </w:tcPr>
          <w:p w14:paraId="61C6D716"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1977</w:t>
            </w:r>
          </w:p>
        </w:tc>
        <w:tc>
          <w:tcPr>
            <w:tcW w:w="7628" w:type="dxa"/>
          </w:tcPr>
          <w:p w14:paraId="243640E8"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sidRPr="004261D8">
              <w:rPr>
                <w:rFonts w:ascii="Arial" w:eastAsiaTheme="minorHAnsi" w:hAnsi="Arial" w:cs="Arial"/>
                <w:color w:val="000000" w:themeColor="text1"/>
                <w:sz w:val="20"/>
                <w:szCs w:val="20"/>
                <w:lang w:val="de-DE" w:eastAsia="en-US"/>
              </w:rPr>
              <w:t>Cecilia Gonzalez Bandera, eine junge Frau, die einen Einbrecher tötet, der sie nachts zu vergewaltigen versucht, wird zunächst von Mexikos Medien verurteilt. Im Land findet Bandera aber zahlreiche Unterstützerinnen und wird schlussendlich vor Gericht freigesprochen.</w:t>
            </w:r>
          </w:p>
        </w:tc>
      </w:tr>
      <w:tr w:rsidR="00A45D51" w14:paraId="295EA91B" w14:textId="77777777" w:rsidTr="00482582">
        <w:tc>
          <w:tcPr>
            <w:tcW w:w="1129" w:type="dxa"/>
          </w:tcPr>
          <w:p w14:paraId="487C1F01"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8</w:t>
            </w:r>
          </w:p>
        </w:tc>
        <w:tc>
          <w:tcPr>
            <w:tcW w:w="851" w:type="dxa"/>
          </w:tcPr>
          <w:p w14:paraId="5CBE37F6"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1988</w:t>
            </w:r>
          </w:p>
        </w:tc>
        <w:tc>
          <w:tcPr>
            <w:tcW w:w="7628" w:type="dxa"/>
          </w:tcPr>
          <w:p w14:paraId="0875C6F7"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sidRPr="004261D8">
              <w:rPr>
                <w:rFonts w:ascii="Arial" w:eastAsiaTheme="minorHAnsi" w:hAnsi="Arial" w:cs="Arial"/>
                <w:color w:val="000000" w:themeColor="text1"/>
                <w:sz w:val="20"/>
                <w:szCs w:val="20"/>
                <w:lang w:val="de-DE" w:eastAsia="en-US"/>
              </w:rPr>
              <w:t xml:space="preserve">Die Frauenbewegung Mexikos bleibt trotz der Größe des Staates </w:t>
            </w:r>
            <w:proofErr w:type="gramStart"/>
            <w:r w:rsidRPr="004261D8">
              <w:rPr>
                <w:rFonts w:ascii="Arial" w:eastAsiaTheme="minorHAnsi" w:hAnsi="Arial" w:cs="Arial"/>
                <w:color w:val="000000" w:themeColor="text1"/>
                <w:sz w:val="20"/>
                <w:szCs w:val="20"/>
                <w:lang w:val="de-DE" w:eastAsia="en-US"/>
              </w:rPr>
              <w:t>ziemlich klein</w:t>
            </w:r>
            <w:proofErr w:type="gramEnd"/>
            <w:r w:rsidRPr="004261D8">
              <w:rPr>
                <w:rFonts w:ascii="Arial" w:eastAsiaTheme="minorHAnsi" w:hAnsi="Arial" w:cs="Arial"/>
                <w:color w:val="000000" w:themeColor="text1"/>
                <w:sz w:val="20"/>
                <w:szCs w:val="20"/>
                <w:lang w:val="de-DE" w:eastAsia="en-US"/>
              </w:rPr>
              <w:t>. Nur in 11 von 32 Provinzen gibt es Gruppen, die sich gegen Gewalt</w:t>
            </w:r>
            <w:r>
              <w:rPr>
                <w:rFonts w:ascii="Arial" w:eastAsiaTheme="minorHAnsi" w:hAnsi="Arial" w:cs="Arial"/>
                <w:color w:val="000000" w:themeColor="text1"/>
                <w:sz w:val="20"/>
                <w:szCs w:val="20"/>
                <w:lang w:val="de-DE" w:eastAsia="en-US"/>
              </w:rPr>
              <w:t xml:space="preserve"> an Frauen</w:t>
            </w:r>
            <w:r w:rsidRPr="004261D8">
              <w:rPr>
                <w:rFonts w:ascii="Arial" w:eastAsiaTheme="minorHAnsi" w:hAnsi="Arial" w:cs="Arial"/>
                <w:color w:val="000000" w:themeColor="text1"/>
                <w:sz w:val="20"/>
                <w:szCs w:val="20"/>
                <w:lang w:val="de-DE" w:eastAsia="en-US"/>
              </w:rPr>
              <w:t xml:space="preserve"> einsetzen.</w:t>
            </w:r>
          </w:p>
        </w:tc>
      </w:tr>
      <w:tr w:rsidR="00A45D51" w14:paraId="0CDD4129" w14:textId="77777777" w:rsidTr="00482582">
        <w:tc>
          <w:tcPr>
            <w:tcW w:w="1129" w:type="dxa"/>
          </w:tcPr>
          <w:p w14:paraId="2F8A2D34"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9</w:t>
            </w:r>
          </w:p>
        </w:tc>
        <w:tc>
          <w:tcPr>
            <w:tcW w:w="851" w:type="dxa"/>
          </w:tcPr>
          <w:p w14:paraId="62F4E6CD"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1988 und 1990</w:t>
            </w:r>
          </w:p>
        </w:tc>
        <w:tc>
          <w:tcPr>
            <w:tcW w:w="7628" w:type="dxa"/>
          </w:tcPr>
          <w:p w14:paraId="6847282D"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sidRPr="004261D8">
              <w:rPr>
                <w:rFonts w:ascii="Arial" w:eastAsiaTheme="minorHAnsi" w:hAnsi="Arial" w:cs="Arial"/>
                <w:color w:val="000000" w:themeColor="text1"/>
                <w:sz w:val="20"/>
                <w:szCs w:val="20"/>
                <w:lang w:val="de-DE" w:eastAsia="en-US"/>
              </w:rPr>
              <w:t>Eine Reihe von Serienvergewaltigungen machen die Öffentlichkeit auf das Thema Gewalt an Frauen aufmerksam.</w:t>
            </w:r>
          </w:p>
        </w:tc>
      </w:tr>
      <w:tr w:rsidR="00A45D51" w14:paraId="1B41103F" w14:textId="77777777" w:rsidTr="00482582">
        <w:tc>
          <w:tcPr>
            <w:tcW w:w="1129" w:type="dxa"/>
          </w:tcPr>
          <w:p w14:paraId="1F196A35"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10</w:t>
            </w:r>
          </w:p>
        </w:tc>
        <w:tc>
          <w:tcPr>
            <w:tcW w:w="851" w:type="dxa"/>
          </w:tcPr>
          <w:p w14:paraId="2D0C4274"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1991</w:t>
            </w:r>
          </w:p>
        </w:tc>
        <w:tc>
          <w:tcPr>
            <w:tcW w:w="7628" w:type="dxa"/>
          </w:tcPr>
          <w:p w14:paraId="4A5E35C1"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sidRPr="004261D8">
              <w:rPr>
                <w:rFonts w:ascii="Arial" w:eastAsiaTheme="minorHAnsi" w:hAnsi="Arial" w:cs="Arial"/>
                <w:color w:val="000000" w:themeColor="text1"/>
                <w:sz w:val="20"/>
                <w:szCs w:val="20"/>
                <w:lang w:val="de-DE" w:eastAsia="en-US"/>
              </w:rPr>
              <w:t>Frauen bleiben nach wie vor oft aggressiven Männern zuhause ausgesetzt. Das Thema häusliche Gewalt</w:t>
            </w:r>
            <w:r>
              <w:rPr>
                <w:rFonts w:ascii="Arial" w:eastAsiaTheme="minorHAnsi" w:hAnsi="Arial" w:cs="Arial"/>
                <w:color w:val="000000" w:themeColor="text1"/>
                <w:sz w:val="20"/>
                <w:szCs w:val="20"/>
                <w:lang w:val="de-DE" w:eastAsia="en-US"/>
              </w:rPr>
              <w:t xml:space="preserve"> (Gewalt durch Familienmitglieder)</w:t>
            </w:r>
            <w:r w:rsidRPr="004261D8">
              <w:rPr>
                <w:rFonts w:ascii="Arial" w:eastAsiaTheme="minorHAnsi" w:hAnsi="Arial" w:cs="Arial"/>
                <w:color w:val="000000" w:themeColor="text1"/>
                <w:sz w:val="20"/>
                <w:szCs w:val="20"/>
                <w:lang w:val="de-DE" w:eastAsia="en-US"/>
              </w:rPr>
              <w:t xml:space="preserve"> wird aber nun öffentlich diskutiert.</w:t>
            </w:r>
          </w:p>
        </w:tc>
      </w:tr>
      <w:tr w:rsidR="00A45D51" w14:paraId="789F79A7" w14:textId="77777777" w:rsidTr="00482582">
        <w:tc>
          <w:tcPr>
            <w:tcW w:w="1129" w:type="dxa"/>
          </w:tcPr>
          <w:p w14:paraId="2A190047"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lastRenderedPageBreak/>
              <w:t>11</w:t>
            </w:r>
          </w:p>
        </w:tc>
        <w:tc>
          <w:tcPr>
            <w:tcW w:w="851" w:type="dxa"/>
          </w:tcPr>
          <w:p w14:paraId="1C2C70E6"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1997</w:t>
            </w:r>
          </w:p>
        </w:tc>
        <w:tc>
          <w:tcPr>
            <w:tcW w:w="7628" w:type="dxa"/>
          </w:tcPr>
          <w:p w14:paraId="6FF3D782"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sidRPr="004261D8">
              <w:rPr>
                <w:rFonts w:ascii="Arial" w:eastAsiaTheme="minorHAnsi" w:hAnsi="Arial" w:cs="Arial"/>
                <w:color w:val="000000" w:themeColor="text1"/>
                <w:sz w:val="20"/>
                <w:szCs w:val="20"/>
                <w:lang w:val="de-DE" w:eastAsia="en-US"/>
              </w:rPr>
              <w:t>In der Hauptstadt Mexiko-City gibt es das erste Frauenhaus, das als erster sicherer Zufluchtsort für Frauen dient.</w:t>
            </w:r>
          </w:p>
        </w:tc>
      </w:tr>
      <w:tr w:rsidR="00A45D51" w14:paraId="25340CE7" w14:textId="77777777" w:rsidTr="00482582">
        <w:tc>
          <w:tcPr>
            <w:tcW w:w="1129" w:type="dxa"/>
          </w:tcPr>
          <w:p w14:paraId="190AFD5F"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12</w:t>
            </w:r>
          </w:p>
        </w:tc>
        <w:tc>
          <w:tcPr>
            <w:tcW w:w="851" w:type="dxa"/>
          </w:tcPr>
          <w:p w14:paraId="55A6E92C"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2005</w:t>
            </w:r>
          </w:p>
        </w:tc>
        <w:tc>
          <w:tcPr>
            <w:tcW w:w="7628" w:type="dxa"/>
          </w:tcPr>
          <w:p w14:paraId="7F4C17A5"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sidRPr="004261D8">
              <w:rPr>
                <w:rFonts w:ascii="Arial" w:eastAsiaTheme="minorHAnsi" w:hAnsi="Arial" w:cs="Arial"/>
                <w:color w:val="000000" w:themeColor="text1"/>
                <w:sz w:val="20"/>
                <w:szCs w:val="20"/>
                <w:lang w:val="de-DE" w:eastAsia="en-US"/>
              </w:rPr>
              <w:t>In der mexikanischen Stadt Ciudad Juárez werden mehr als 370 Frauenleichen gefunden, 400 Frauen werden vermisst. Die Motive sind bis heute unklar. Verantwortlich am Femizid (Frauentötung) sind Kriminelle, die vor allem junge Frauen ermorden.</w:t>
            </w:r>
          </w:p>
        </w:tc>
      </w:tr>
      <w:tr w:rsidR="00A45D51" w14:paraId="4DAB3A85" w14:textId="77777777" w:rsidTr="00482582">
        <w:tc>
          <w:tcPr>
            <w:tcW w:w="1129" w:type="dxa"/>
          </w:tcPr>
          <w:p w14:paraId="58DFCC6A"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13</w:t>
            </w:r>
          </w:p>
        </w:tc>
        <w:tc>
          <w:tcPr>
            <w:tcW w:w="851" w:type="dxa"/>
          </w:tcPr>
          <w:p w14:paraId="1CB1D7D3" w14:textId="77777777" w:rsidR="00A45D51" w:rsidRDefault="00A45D51" w:rsidP="00482582">
            <w:pPr>
              <w:spacing w:line="360" w:lineRule="auto"/>
              <w:rPr>
                <w:rFonts w:ascii="Arial" w:eastAsiaTheme="minorHAnsi" w:hAnsi="Arial" w:cs="Arial"/>
                <w:color w:val="000000" w:themeColor="text1"/>
                <w:sz w:val="20"/>
                <w:szCs w:val="20"/>
                <w:lang w:val="de-DE" w:eastAsia="en-US"/>
              </w:rPr>
            </w:pPr>
            <w:r>
              <w:rPr>
                <w:rFonts w:ascii="Arial" w:eastAsiaTheme="minorHAnsi" w:hAnsi="Arial" w:cs="Arial"/>
                <w:color w:val="000000" w:themeColor="text1"/>
                <w:sz w:val="20"/>
                <w:szCs w:val="20"/>
                <w:lang w:val="de-DE" w:eastAsia="en-US"/>
              </w:rPr>
              <w:t>2017</w:t>
            </w:r>
          </w:p>
        </w:tc>
        <w:tc>
          <w:tcPr>
            <w:tcW w:w="7628" w:type="dxa"/>
          </w:tcPr>
          <w:p w14:paraId="6DB180E8" w14:textId="77777777" w:rsidR="00A45D51" w:rsidRPr="000B046F" w:rsidRDefault="00A45D51" w:rsidP="00482582">
            <w:pPr>
              <w:tabs>
                <w:tab w:val="left" w:pos="2460"/>
              </w:tabs>
              <w:spacing w:line="360" w:lineRule="auto"/>
              <w:rPr>
                <w:rFonts w:ascii="Arial" w:eastAsiaTheme="minorHAnsi" w:hAnsi="Arial" w:cs="Arial"/>
                <w:color w:val="000000" w:themeColor="text1"/>
                <w:sz w:val="20"/>
                <w:szCs w:val="20"/>
                <w:lang w:val="de-DE" w:eastAsia="en-US"/>
              </w:rPr>
            </w:pPr>
            <w:r w:rsidRPr="004261D8">
              <w:rPr>
                <w:rFonts w:ascii="Arial" w:eastAsiaTheme="minorHAnsi" w:hAnsi="Arial" w:cs="Arial"/>
                <w:color w:val="000000" w:themeColor="text1"/>
                <w:sz w:val="20"/>
                <w:szCs w:val="20"/>
                <w:lang w:val="de-DE" w:eastAsia="en-US"/>
              </w:rPr>
              <w:t xml:space="preserve">Eine Studie des Nationalen Instituts für Statistik und Geografie kommt zu dem Schluss, dass 66% aller Frauen des Landes Opfer von </w:t>
            </w:r>
            <w:r>
              <w:rPr>
                <w:rFonts w:ascii="Arial" w:eastAsiaTheme="minorHAnsi" w:hAnsi="Arial" w:cs="Arial"/>
                <w:color w:val="000000" w:themeColor="text1"/>
                <w:sz w:val="20"/>
                <w:szCs w:val="20"/>
                <w:lang w:val="de-DE" w:eastAsia="en-US"/>
              </w:rPr>
              <w:t>körperlicher</w:t>
            </w:r>
            <w:r w:rsidRPr="004261D8">
              <w:rPr>
                <w:rFonts w:ascii="Arial" w:eastAsiaTheme="minorHAnsi" w:hAnsi="Arial" w:cs="Arial"/>
                <w:color w:val="000000" w:themeColor="text1"/>
                <w:sz w:val="20"/>
                <w:szCs w:val="20"/>
                <w:lang w:val="de-DE" w:eastAsia="en-US"/>
              </w:rPr>
              <w:t xml:space="preserve">, </w:t>
            </w:r>
            <w:r>
              <w:rPr>
                <w:rFonts w:ascii="Arial" w:eastAsiaTheme="minorHAnsi" w:hAnsi="Arial" w:cs="Arial"/>
                <w:color w:val="000000" w:themeColor="text1"/>
                <w:sz w:val="20"/>
                <w:szCs w:val="20"/>
                <w:lang w:val="de-DE" w:eastAsia="en-US"/>
              </w:rPr>
              <w:t>seelischer</w:t>
            </w:r>
            <w:r w:rsidRPr="004261D8">
              <w:rPr>
                <w:rFonts w:ascii="Arial" w:eastAsiaTheme="minorHAnsi" w:hAnsi="Arial" w:cs="Arial"/>
                <w:color w:val="000000" w:themeColor="text1"/>
                <w:sz w:val="20"/>
                <w:szCs w:val="20"/>
                <w:lang w:val="de-DE" w:eastAsia="en-US"/>
              </w:rPr>
              <w:t xml:space="preserve">, </w:t>
            </w:r>
            <w:r>
              <w:rPr>
                <w:rFonts w:ascii="Arial" w:eastAsiaTheme="minorHAnsi" w:hAnsi="Arial" w:cs="Arial"/>
                <w:color w:val="000000" w:themeColor="text1"/>
                <w:sz w:val="20"/>
                <w:szCs w:val="20"/>
                <w:lang w:val="de-DE" w:eastAsia="en-US"/>
              </w:rPr>
              <w:t xml:space="preserve">und </w:t>
            </w:r>
            <w:r w:rsidRPr="004261D8">
              <w:rPr>
                <w:rFonts w:ascii="Arial" w:eastAsiaTheme="minorHAnsi" w:hAnsi="Arial" w:cs="Arial"/>
                <w:color w:val="000000" w:themeColor="text1"/>
                <w:sz w:val="20"/>
                <w:szCs w:val="20"/>
                <w:lang w:val="de-DE" w:eastAsia="en-US"/>
              </w:rPr>
              <w:t>sexueller und wirtschaftlicher Gewalt sind.</w:t>
            </w:r>
          </w:p>
        </w:tc>
      </w:tr>
    </w:tbl>
    <w:p w14:paraId="3CF0CC12" w14:textId="77777777" w:rsidR="00CF2C41" w:rsidRDefault="00CF2C41"/>
    <w:sectPr w:rsidR="00CF2C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51"/>
    <w:rsid w:val="00130454"/>
    <w:rsid w:val="00553D34"/>
    <w:rsid w:val="00A45D51"/>
    <w:rsid w:val="00B17A48"/>
    <w:rsid w:val="00CF2C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A08D"/>
  <w15:chartTrackingRefBased/>
  <w15:docId w15:val="{F064E2D6-D060-BF4C-898D-189D689F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5D51"/>
    <w:pPr>
      <w:spacing w:after="0" w:line="240" w:lineRule="auto"/>
    </w:pPr>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A45D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A45D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A45D5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A45D5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A45D5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A45D5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A45D5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A45D5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A45D5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5D5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45D5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45D5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45D5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45D5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45D5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45D5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45D5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45D51"/>
    <w:rPr>
      <w:rFonts w:eastAsiaTheme="majorEastAsia" w:cstheme="majorBidi"/>
      <w:color w:val="272727" w:themeColor="text1" w:themeTint="D8"/>
    </w:rPr>
  </w:style>
  <w:style w:type="paragraph" w:styleId="Titel">
    <w:name w:val="Title"/>
    <w:basedOn w:val="Standard"/>
    <w:next w:val="Standard"/>
    <w:link w:val="TitelZchn"/>
    <w:uiPriority w:val="10"/>
    <w:qFormat/>
    <w:rsid w:val="00A45D5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A45D5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5D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A45D5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45D5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A45D51"/>
    <w:rPr>
      <w:i/>
      <w:iCs/>
      <w:color w:val="404040" w:themeColor="text1" w:themeTint="BF"/>
    </w:rPr>
  </w:style>
  <w:style w:type="paragraph" w:styleId="Listenabsatz">
    <w:name w:val="List Paragraph"/>
    <w:basedOn w:val="Standard"/>
    <w:uiPriority w:val="34"/>
    <w:qFormat/>
    <w:rsid w:val="00A45D5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A45D51"/>
    <w:rPr>
      <w:i/>
      <w:iCs/>
      <w:color w:val="0F4761" w:themeColor="accent1" w:themeShade="BF"/>
    </w:rPr>
  </w:style>
  <w:style w:type="paragraph" w:styleId="IntensivesZitat">
    <w:name w:val="Intense Quote"/>
    <w:basedOn w:val="Standard"/>
    <w:next w:val="Standard"/>
    <w:link w:val="IntensivesZitatZchn"/>
    <w:uiPriority w:val="30"/>
    <w:qFormat/>
    <w:rsid w:val="00A45D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A45D51"/>
    <w:rPr>
      <w:i/>
      <w:iCs/>
      <w:color w:val="0F4761" w:themeColor="accent1" w:themeShade="BF"/>
    </w:rPr>
  </w:style>
  <w:style w:type="character" w:styleId="IntensiverVerweis">
    <w:name w:val="Intense Reference"/>
    <w:basedOn w:val="Absatz-Standardschriftart"/>
    <w:uiPriority w:val="32"/>
    <w:qFormat/>
    <w:rsid w:val="00A45D51"/>
    <w:rPr>
      <w:b/>
      <w:bCs/>
      <w:smallCaps/>
      <w:color w:val="0F4761" w:themeColor="accent1" w:themeShade="BF"/>
      <w:spacing w:val="5"/>
    </w:rPr>
  </w:style>
  <w:style w:type="table" w:styleId="Tabellenraster">
    <w:name w:val="Table Grid"/>
    <w:basedOn w:val="NormaleTabelle"/>
    <w:uiPriority w:val="39"/>
    <w:rsid w:val="00A45D5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1947</Characters>
  <Application>Microsoft Office Word</Application>
  <DocSecurity>0</DocSecurity>
  <Lines>16</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Sindhuber Anna</dc:creator>
  <cp:keywords/>
  <dc:description/>
  <cp:lastModifiedBy>Sindhuber Anna</cp:lastModifiedBy>
  <cp:revision>1</cp:revision>
  <dcterms:created xsi:type="dcterms:W3CDTF">2026-05-05T15:01:00Z</dcterms:created>
  <dcterms:modified xsi:type="dcterms:W3CDTF">2026-05-05T15:01:00Z</dcterms:modified>
</cp:coreProperties>
</file>