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C29" w14:textId="11120187" w:rsidR="00281A28" w:rsidRDefault="00281A28" w:rsidP="00281A28">
      <w:pPr>
        <w:pStyle w:val="berschrift3"/>
      </w:pPr>
      <w:r>
        <w:t>Kriterien zur Bewertung und Beobachtung von Schulbüchern hinsichtlich Migration im GW-Unterricht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59"/>
        <w:gridCol w:w="5727"/>
        <w:gridCol w:w="4784"/>
      </w:tblGrid>
      <w:tr w:rsidR="00281A28" w14:paraId="3422BA51" w14:textId="77777777" w:rsidTr="005A41DC">
        <w:tc>
          <w:tcPr>
            <w:tcW w:w="3686" w:type="dxa"/>
            <w:vAlign w:val="center"/>
          </w:tcPr>
          <w:p w14:paraId="40B3DA80" w14:textId="01AFFB69" w:rsidR="00281A28" w:rsidRDefault="00281A28" w:rsidP="00281A28">
            <w:pPr>
              <w:pStyle w:val="berschrift4"/>
              <w:spacing w:before="120" w:after="120"/>
              <w:jc w:val="center"/>
            </w:pPr>
            <w:r>
              <w:t>Beobachtungskriterien</w:t>
            </w:r>
          </w:p>
        </w:tc>
        <w:tc>
          <w:tcPr>
            <w:tcW w:w="5824" w:type="dxa"/>
            <w:vAlign w:val="center"/>
          </w:tcPr>
          <w:p w14:paraId="4ED2286E" w14:textId="372EBBE8" w:rsidR="00281A28" w:rsidRDefault="00281A28" w:rsidP="00281A28">
            <w:pPr>
              <w:pStyle w:val="berschrift4"/>
              <w:spacing w:before="120" w:after="120"/>
              <w:jc w:val="center"/>
            </w:pPr>
            <w:r>
              <w:t>Ausprägungen</w:t>
            </w:r>
          </w:p>
        </w:tc>
        <w:tc>
          <w:tcPr>
            <w:tcW w:w="4810" w:type="dxa"/>
            <w:vAlign w:val="center"/>
          </w:tcPr>
          <w:p w14:paraId="6F65EC2F" w14:textId="05F2D9B6" w:rsidR="00281A28" w:rsidRDefault="00281A28" w:rsidP="00281A28">
            <w:pPr>
              <w:pStyle w:val="berschrift4"/>
              <w:spacing w:before="120" w:after="120"/>
              <w:jc w:val="center"/>
            </w:pPr>
            <w:r>
              <w:t>Gestaltungsfolgen</w:t>
            </w:r>
          </w:p>
        </w:tc>
      </w:tr>
      <w:tr w:rsidR="00281A28" w14:paraId="6F2DA64E" w14:textId="77777777" w:rsidTr="005A41DC">
        <w:tc>
          <w:tcPr>
            <w:tcW w:w="3686" w:type="dxa"/>
          </w:tcPr>
          <w:p w14:paraId="335276FD" w14:textId="7D87F494" w:rsidR="00281A28" w:rsidRDefault="005A41DC" w:rsidP="00281A28">
            <w:r>
              <w:t>Themenselektion</w:t>
            </w:r>
            <w:r w:rsidR="000E245E">
              <w:t xml:space="preserve"> / </w:t>
            </w:r>
            <w:proofErr w:type="spellStart"/>
            <w:r w:rsidR="000E245E">
              <w:t>Framing</w:t>
            </w:r>
            <w:proofErr w:type="spellEnd"/>
          </w:p>
        </w:tc>
        <w:tc>
          <w:tcPr>
            <w:tcW w:w="5824" w:type="dxa"/>
          </w:tcPr>
          <w:p w14:paraId="27792C39" w14:textId="77777777" w:rsidR="00281A28" w:rsidRDefault="000E245E" w:rsidP="00281A28">
            <w:r>
              <w:t>Migration und Ökonomie</w:t>
            </w:r>
          </w:p>
          <w:p w14:paraId="4033C6D4" w14:textId="77777777" w:rsidR="000E245E" w:rsidRDefault="000E245E" w:rsidP="00281A28">
            <w:r>
              <w:t>Diversität (und Essen)</w:t>
            </w:r>
          </w:p>
          <w:p w14:paraId="405D1787" w14:textId="77777777" w:rsidR="000E245E" w:rsidRDefault="000E245E" w:rsidP="00281A28">
            <w:r>
              <w:t>Länderbeispiele</w:t>
            </w:r>
          </w:p>
          <w:p w14:paraId="2AB8871A" w14:textId="77777777" w:rsidR="000E245E" w:rsidRDefault="000E245E" w:rsidP="00281A28">
            <w:r>
              <w:t>Flucht</w:t>
            </w:r>
          </w:p>
          <w:p w14:paraId="631C61E8" w14:textId="77777777" w:rsidR="00711C33" w:rsidRDefault="000E245E" w:rsidP="00281A28">
            <w:r>
              <w:t>Migration als Krise und Krisensymptom</w:t>
            </w:r>
          </w:p>
          <w:p w14:paraId="16156D46" w14:textId="77777777" w:rsidR="00711C33" w:rsidRDefault="00711C33" w:rsidP="00281A28">
            <w:r>
              <w:t>Migration und nationale Identität</w:t>
            </w:r>
          </w:p>
          <w:p w14:paraId="45A60CB8" w14:textId="6926E9E6" w:rsidR="00711C33" w:rsidRDefault="00711C33" w:rsidP="00281A28">
            <w:r>
              <w:t>Migration als Normalfall</w:t>
            </w:r>
          </w:p>
          <w:p w14:paraId="7DAB9F46" w14:textId="1F3D1E3E" w:rsidR="000E245E" w:rsidRDefault="00711C33" w:rsidP="00281A28">
            <w:r>
              <w:t>Migration als Teil der österreichischen Geschichte</w:t>
            </w:r>
          </w:p>
        </w:tc>
        <w:tc>
          <w:tcPr>
            <w:tcW w:w="4810" w:type="dxa"/>
          </w:tcPr>
          <w:p w14:paraId="47F77519" w14:textId="77777777" w:rsidR="00281A28" w:rsidRDefault="00DB3525" w:rsidP="00DB3525">
            <w:pPr>
              <w:pStyle w:val="Listenabsatz"/>
              <w:numPr>
                <w:ilvl w:val="0"/>
                <w:numId w:val="2"/>
              </w:numPr>
            </w:pPr>
            <w:r>
              <w:t>Probleme und Lösungen (Problembearbeitungsstrategien)</w:t>
            </w:r>
          </w:p>
          <w:p w14:paraId="5A3272A8" w14:textId="77777777" w:rsidR="00DB3525" w:rsidRDefault="00DB3525" w:rsidP="00DB3525">
            <w:pPr>
              <w:pStyle w:val="Listenabsatz"/>
              <w:numPr>
                <w:ilvl w:val="0"/>
                <w:numId w:val="2"/>
              </w:numPr>
            </w:pPr>
            <w:r>
              <w:t>Zugang über Diversität (Kaiser)</w:t>
            </w:r>
          </w:p>
          <w:p w14:paraId="3C0A38B1" w14:textId="7C4A17B0" w:rsidR="00BB5D5A" w:rsidRDefault="00BB5D5A" w:rsidP="00DB3525">
            <w:pPr>
              <w:pStyle w:val="Listenabsatz"/>
              <w:numPr>
                <w:ilvl w:val="0"/>
                <w:numId w:val="2"/>
              </w:numPr>
            </w:pPr>
            <w:r>
              <w:t>Migration als globales Phänomen</w:t>
            </w:r>
          </w:p>
        </w:tc>
      </w:tr>
      <w:tr w:rsidR="00281A28" w14:paraId="16B5E66C" w14:textId="77777777" w:rsidTr="005A41DC">
        <w:tc>
          <w:tcPr>
            <w:tcW w:w="3686" w:type="dxa"/>
          </w:tcPr>
          <w:p w14:paraId="4551ED88" w14:textId="334706AD" w:rsidR="00281A28" w:rsidRDefault="005A41DC" w:rsidP="00281A28">
            <w:r>
              <w:t>Visualisierungen</w:t>
            </w:r>
          </w:p>
        </w:tc>
        <w:tc>
          <w:tcPr>
            <w:tcW w:w="5824" w:type="dxa"/>
          </w:tcPr>
          <w:p w14:paraId="7A028A13" w14:textId="77777777" w:rsidR="00281A28" w:rsidRDefault="00711C33" w:rsidP="00281A28">
            <w:r>
              <w:t>Karten</w:t>
            </w:r>
          </w:p>
          <w:p w14:paraId="18D59799" w14:textId="77777777" w:rsidR="006C6D79" w:rsidRDefault="00711C33" w:rsidP="00281A28">
            <w:r>
              <w:t>Bilder</w:t>
            </w:r>
          </w:p>
          <w:p w14:paraId="4CEC9A71" w14:textId="6CE14309" w:rsidR="00711C33" w:rsidRDefault="00711C33" w:rsidP="00281A28">
            <w:r>
              <w:t>Fotos</w:t>
            </w:r>
          </w:p>
          <w:p w14:paraId="5A823B65" w14:textId="7A9826D5" w:rsidR="00711C33" w:rsidRDefault="00711C33" w:rsidP="00711C33">
            <w:r>
              <w:t>Diagramme und Infografiken</w:t>
            </w:r>
          </w:p>
          <w:p w14:paraId="583ADE4A" w14:textId="77777777" w:rsidR="00711C33" w:rsidRDefault="00711C33" w:rsidP="00711C33">
            <w:r>
              <w:t>Tabelle</w:t>
            </w:r>
          </w:p>
          <w:p w14:paraId="73124329" w14:textId="17A91945" w:rsidR="00711C33" w:rsidRDefault="00711C33" w:rsidP="00711C33">
            <w:r>
              <w:t>Zeitstrahl</w:t>
            </w:r>
          </w:p>
        </w:tc>
        <w:tc>
          <w:tcPr>
            <w:tcW w:w="4810" w:type="dxa"/>
          </w:tcPr>
          <w:p w14:paraId="2076C3FE" w14:textId="77777777" w:rsidR="00281A28" w:rsidRDefault="00BB5D5A" w:rsidP="00BB5D5A">
            <w:pPr>
              <w:pStyle w:val="Listenabsatz"/>
              <w:numPr>
                <w:ilvl w:val="0"/>
                <w:numId w:val="2"/>
              </w:numPr>
            </w:pPr>
            <w:r>
              <w:t>Bilder von Schulklassen</w:t>
            </w:r>
          </w:p>
          <w:p w14:paraId="1C2A898E" w14:textId="77777777" w:rsidR="006C6D79" w:rsidRDefault="006C6D79" w:rsidP="00BB5D5A">
            <w:pPr>
              <w:pStyle w:val="Listenabsatz"/>
              <w:numPr>
                <w:ilvl w:val="0"/>
                <w:numId w:val="2"/>
              </w:numPr>
            </w:pPr>
            <w:r>
              <w:t>Diversitätsbild: Essen</w:t>
            </w:r>
          </w:p>
          <w:p w14:paraId="30B09272" w14:textId="2684D7D8" w:rsidR="006C6D79" w:rsidRDefault="006C6D79" w:rsidP="00BB5D5A">
            <w:pPr>
              <w:pStyle w:val="Listenabsatz"/>
              <w:numPr>
                <w:ilvl w:val="0"/>
                <w:numId w:val="2"/>
              </w:numPr>
            </w:pPr>
            <w:r>
              <w:t>Straßenbild, migrantische Läden</w:t>
            </w:r>
          </w:p>
          <w:p w14:paraId="51593556" w14:textId="77777777" w:rsidR="006C6D79" w:rsidRDefault="006C6D79" w:rsidP="006C6D79">
            <w:pPr>
              <w:pStyle w:val="Listenabsatz"/>
              <w:ind w:left="720"/>
            </w:pPr>
          </w:p>
          <w:p w14:paraId="5580829B" w14:textId="77777777" w:rsidR="006C6D79" w:rsidRDefault="006C6D79" w:rsidP="006C6D79">
            <w:pPr>
              <w:pStyle w:val="Listenabsatz"/>
              <w:numPr>
                <w:ilvl w:val="0"/>
                <w:numId w:val="2"/>
              </w:numPr>
            </w:pPr>
            <w:r>
              <w:t>Karikaturen</w:t>
            </w:r>
          </w:p>
          <w:p w14:paraId="3E1F68F9" w14:textId="77777777" w:rsidR="006C6D79" w:rsidRDefault="006C6D79" w:rsidP="006C6D79">
            <w:pPr>
              <w:pStyle w:val="Listenabsatz"/>
            </w:pPr>
          </w:p>
          <w:p w14:paraId="6D8D02AE" w14:textId="77777777" w:rsidR="006C6D79" w:rsidRDefault="006C6D79" w:rsidP="006C6D79">
            <w:pPr>
              <w:pStyle w:val="Listenabsatz"/>
              <w:numPr>
                <w:ilvl w:val="0"/>
                <w:numId w:val="2"/>
              </w:numPr>
            </w:pPr>
            <w:r>
              <w:t>Übersichtlichkeit, Erschließbarkeit</w:t>
            </w:r>
          </w:p>
          <w:p w14:paraId="235477E2" w14:textId="77777777" w:rsidR="006C6D79" w:rsidRDefault="00485F30" w:rsidP="006C6D79">
            <w:pPr>
              <w:pStyle w:val="Listenabsatz"/>
              <w:numPr>
                <w:ilvl w:val="0"/>
                <w:numId w:val="2"/>
              </w:numPr>
            </w:pPr>
            <w:r>
              <w:t>Quelle vertrauenswürdig, Alter</w:t>
            </w:r>
          </w:p>
          <w:p w14:paraId="1EA7640C" w14:textId="170CAC67" w:rsidR="00485F30" w:rsidRDefault="00485F30" w:rsidP="006C6D79">
            <w:pPr>
              <w:pStyle w:val="Listenabsatz"/>
              <w:numPr>
                <w:ilvl w:val="0"/>
                <w:numId w:val="2"/>
              </w:numPr>
            </w:pPr>
            <w:r>
              <w:t>Komplexität vermitteln</w:t>
            </w:r>
          </w:p>
        </w:tc>
      </w:tr>
      <w:tr w:rsidR="00281A28" w14:paraId="3491FDEC" w14:textId="77777777" w:rsidTr="005A41DC">
        <w:tc>
          <w:tcPr>
            <w:tcW w:w="3686" w:type="dxa"/>
          </w:tcPr>
          <w:p w14:paraId="5B556A57" w14:textId="3B534E21" w:rsidR="00281A28" w:rsidRDefault="005A41DC" w:rsidP="00281A28">
            <w:r>
              <w:t>Definitionen</w:t>
            </w:r>
          </w:p>
        </w:tc>
        <w:tc>
          <w:tcPr>
            <w:tcW w:w="5824" w:type="dxa"/>
          </w:tcPr>
          <w:p w14:paraId="32FB509E" w14:textId="77777777" w:rsidR="00281A28" w:rsidRDefault="00671870" w:rsidP="00281A28">
            <w:r>
              <w:t>Grad der Formalität</w:t>
            </w:r>
          </w:p>
          <w:p w14:paraId="77FD812C" w14:textId="0A541D07" w:rsidR="00671870" w:rsidRDefault="00671870" w:rsidP="00281A28">
            <w:r>
              <w:t>unterschiedliche Definitionen eines Begriffs</w:t>
            </w:r>
          </w:p>
          <w:p w14:paraId="57EA511C" w14:textId="19028642" w:rsidR="00671870" w:rsidRDefault="00671870" w:rsidP="00281A28">
            <w:r>
              <w:t>in Boxen, im Text</w:t>
            </w:r>
          </w:p>
          <w:p w14:paraId="76DD72C7" w14:textId="1C0F198E" w:rsidR="00671870" w:rsidRDefault="00671870" w:rsidP="00281A28">
            <w:r>
              <w:t>sprachsensibler Unterricht</w:t>
            </w:r>
          </w:p>
        </w:tc>
        <w:tc>
          <w:tcPr>
            <w:tcW w:w="4810" w:type="dxa"/>
          </w:tcPr>
          <w:p w14:paraId="28894111" w14:textId="77777777" w:rsidR="00281A28" w:rsidRDefault="00281A28" w:rsidP="00281A28"/>
        </w:tc>
      </w:tr>
      <w:tr w:rsidR="00281A28" w14:paraId="4A862BDF" w14:textId="77777777" w:rsidTr="005A41DC">
        <w:tc>
          <w:tcPr>
            <w:tcW w:w="3686" w:type="dxa"/>
          </w:tcPr>
          <w:p w14:paraId="5FC70AEB" w14:textId="3F0F617E" w:rsidR="00281A28" w:rsidRDefault="005A41DC" w:rsidP="00281A28">
            <w:r>
              <w:t>Räumlichkeit, Skalen</w:t>
            </w:r>
          </w:p>
        </w:tc>
        <w:tc>
          <w:tcPr>
            <w:tcW w:w="5824" w:type="dxa"/>
          </w:tcPr>
          <w:p w14:paraId="0341B1A2" w14:textId="7F2A523A" w:rsidR="00281A28" w:rsidRDefault="00671870" w:rsidP="00281A28">
            <w:r>
              <w:t>lokal-regional</w:t>
            </w:r>
          </w:p>
          <w:p w14:paraId="3DF46AA3" w14:textId="77777777" w:rsidR="00671870" w:rsidRDefault="00671870" w:rsidP="00281A28">
            <w:r>
              <w:t>national</w:t>
            </w:r>
          </w:p>
          <w:p w14:paraId="46975E97" w14:textId="77777777" w:rsidR="00671870" w:rsidRDefault="00671870" w:rsidP="00281A28">
            <w:r>
              <w:lastRenderedPageBreak/>
              <w:t>EU</w:t>
            </w:r>
          </w:p>
          <w:p w14:paraId="56AAEB39" w14:textId="77777777" w:rsidR="00671870" w:rsidRDefault="00671870" w:rsidP="00281A28">
            <w:r>
              <w:t>global</w:t>
            </w:r>
          </w:p>
          <w:p w14:paraId="71FABE72" w14:textId="44977A9F" w:rsidR="00671870" w:rsidRDefault="00671870" w:rsidP="00281A28">
            <w:r>
              <w:t>globale Süden</w:t>
            </w:r>
          </w:p>
        </w:tc>
        <w:tc>
          <w:tcPr>
            <w:tcW w:w="4810" w:type="dxa"/>
          </w:tcPr>
          <w:p w14:paraId="3B691CE4" w14:textId="77777777" w:rsidR="00281A28" w:rsidRDefault="00281A28" w:rsidP="00281A28"/>
        </w:tc>
      </w:tr>
      <w:tr w:rsidR="00281A28" w14:paraId="4020FFB0" w14:textId="77777777" w:rsidTr="005A41DC">
        <w:tc>
          <w:tcPr>
            <w:tcW w:w="3686" w:type="dxa"/>
          </w:tcPr>
          <w:p w14:paraId="184DEA13" w14:textId="08DFA6C6" w:rsidR="00281A28" w:rsidRDefault="005A41DC" w:rsidP="00281A28">
            <w:r>
              <w:t>Umfang</w:t>
            </w:r>
          </w:p>
        </w:tc>
        <w:tc>
          <w:tcPr>
            <w:tcW w:w="5824" w:type="dxa"/>
          </w:tcPr>
          <w:p w14:paraId="00198923" w14:textId="12D9D0A9" w:rsidR="00671870" w:rsidRDefault="00671870" w:rsidP="00281A28">
            <w:r>
              <w:t>Seitenzahlen</w:t>
            </w:r>
          </w:p>
        </w:tc>
        <w:tc>
          <w:tcPr>
            <w:tcW w:w="4810" w:type="dxa"/>
          </w:tcPr>
          <w:p w14:paraId="6EAEB9F6" w14:textId="77777777" w:rsidR="00281A28" w:rsidRDefault="00281A28" w:rsidP="00281A28"/>
        </w:tc>
      </w:tr>
      <w:tr w:rsidR="00281A28" w14:paraId="6A468A03" w14:textId="77777777" w:rsidTr="005A41DC">
        <w:tc>
          <w:tcPr>
            <w:tcW w:w="3686" w:type="dxa"/>
          </w:tcPr>
          <w:p w14:paraId="4CFDEB03" w14:textId="65CFB818" w:rsidR="00281A28" w:rsidRDefault="005A41DC" w:rsidP="00281A28">
            <w:r>
              <w:t>Aufgabenstellungen</w:t>
            </w:r>
          </w:p>
        </w:tc>
        <w:tc>
          <w:tcPr>
            <w:tcW w:w="5824" w:type="dxa"/>
          </w:tcPr>
          <w:p w14:paraId="2CAEEF73" w14:textId="77777777" w:rsidR="00281A28" w:rsidRDefault="00671870" w:rsidP="00281A28">
            <w:r>
              <w:t>AFB</w:t>
            </w:r>
          </w:p>
          <w:p w14:paraId="13339B48" w14:textId="77777777" w:rsidR="00671870" w:rsidRDefault="0039329F" w:rsidP="00281A28">
            <w:r>
              <w:t>Sozialformen</w:t>
            </w:r>
          </w:p>
          <w:p w14:paraId="0471AFCE" w14:textId="77777777" w:rsidR="0039329F" w:rsidRDefault="0039329F" w:rsidP="00281A28">
            <w:r>
              <w:t>Rollenspiele</w:t>
            </w:r>
          </w:p>
          <w:p w14:paraId="09BA150A" w14:textId="77777777" w:rsidR="0039329F" w:rsidRDefault="0039329F" w:rsidP="00281A28">
            <w:r>
              <w:t>Stereotype</w:t>
            </w:r>
          </w:p>
          <w:p w14:paraId="62386B16" w14:textId="77777777" w:rsidR="0039329F" w:rsidRDefault="0039329F" w:rsidP="00281A28">
            <w:r>
              <w:t>Recherche</w:t>
            </w:r>
          </w:p>
          <w:p w14:paraId="5A08BB03" w14:textId="77777777" w:rsidR="0039329F" w:rsidRDefault="0039329F" w:rsidP="00281A28">
            <w:r>
              <w:t>Reflexionschancen</w:t>
            </w:r>
          </w:p>
          <w:p w14:paraId="442DB765" w14:textId="4AF85261" w:rsidR="0039329F" w:rsidRDefault="0039329F" w:rsidP="00281A28">
            <w:r>
              <w:t>Kompetenzen</w:t>
            </w:r>
          </w:p>
        </w:tc>
        <w:tc>
          <w:tcPr>
            <w:tcW w:w="4810" w:type="dxa"/>
          </w:tcPr>
          <w:p w14:paraId="1590FCD2" w14:textId="77777777" w:rsidR="00281A28" w:rsidRDefault="00485F30" w:rsidP="00485F30">
            <w:pPr>
              <w:pStyle w:val="Listenabsatz"/>
              <w:numPr>
                <w:ilvl w:val="0"/>
                <w:numId w:val="2"/>
              </w:numPr>
            </w:pPr>
            <w:r>
              <w:t>keine Reproduktionsfragen/-aufgaben</w:t>
            </w:r>
          </w:p>
          <w:p w14:paraId="3A25403D" w14:textId="77777777" w:rsidR="00485F30" w:rsidRDefault="00485F30" w:rsidP="00485F30">
            <w:pPr>
              <w:pStyle w:val="Listenabsatz"/>
              <w:numPr>
                <w:ilvl w:val="0"/>
                <w:numId w:val="2"/>
              </w:numPr>
            </w:pPr>
            <w:r>
              <w:t>kreative Aufgaben</w:t>
            </w:r>
          </w:p>
          <w:p w14:paraId="3B0B9C11" w14:textId="77777777" w:rsidR="00485F30" w:rsidRDefault="00B03BA4" w:rsidP="00485F30">
            <w:pPr>
              <w:pStyle w:val="Listenabsatz"/>
              <w:numPr>
                <w:ilvl w:val="0"/>
                <w:numId w:val="2"/>
              </w:numPr>
            </w:pPr>
            <w:r>
              <w:t>Perspektivenwechsel, Perspektiven einnehmen und Differenzen aushalten</w:t>
            </w:r>
          </w:p>
          <w:p w14:paraId="28E16759" w14:textId="25BE48E3" w:rsidR="00B03BA4" w:rsidRDefault="00B03BA4" w:rsidP="00485F30">
            <w:pPr>
              <w:pStyle w:val="Listenabsatz"/>
              <w:numPr>
                <w:ilvl w:val="0"/>
                <w:numId w:val="2"/>
              </w:numPr>
            </w:pPr>
            <w:r>
              <w:t>bestimmten Kompetenzen einüben</w:t>
            </w:r>
          </w:p>
        </w:tc>
      </w:tr>
      <w:tr w:rsidR="00281A28" w14:paraId="7A070A1E" w14:textId="77777777" w:rsidTr="005A41DC">
        <w:tc>
          <w:tcPr>
            <w:tcW w:w="3686" w:type="dxa"/>
          </w:tcPr>
          <w:p w14:paraId="2F297646" w14:textId="1B41616F" w:rsidR="00281A28" w:rsidRDefault="005A41DC" w:rsidP="00281A28">
            <w:r>
              <w:t>Bewertung &amp; M</w:t>
            </w:r>
            <w:r w:rsidR="000E245E">
              <w:t>einungsbildung</w:t>
            </w:r>
          </w:p>
        </w:tc>
        <w:tc>
          <w:tcPr>
            <w:tcW w:w="5824" w:type="dxa"/>
          </w:tcPr>
          <w:p w14:paraId="132500A6" w14:textId="7426537F" w:rsidR="00281A28" w:rsidRDefault="0039329F" w:rsidP="00281A28">
            <w:r>
              <w:t>Problem-Chance</w:t>
            </w:r>
          </w:p>
          <w:p w14:paraId="2767CC63" w14:textId="77777777" w:rsidR="0039329F" w:rsidRDefault="0039329F" w:rsidP="00281A28">
            <w:r>
              <w:t>Menschenrechte, Würde des Menschen</w:t>
            </w:r>
          </w:p>
          <w:p w14:paraId="08337D9C" w14:textId="77777777" w:rsidR="0039329F" w:rsidRDefault="0039329F" w:rsidP="00281A28">
            <w:r>
              <w:t>Nützlichkeit, Ökonomie</w:t>
            </w:r>
          </w:p>
          <w:p w14:paraId="46BAB95B" w14:textId="77777777" w:rsidR="0039329F" w:rsidRDefault="0039329F" w:rsidP="00281A28">
            <w:r>
              <w:t>Verantwortung</w:t>
            </w:r>
          </w:p>
          <w:p w14:paraId="64AB2575" w14:textId="2A8C53B1" w:rsidR="0039329F" w:rsidRDefault="0039329F" w:rsidP="00281A28">
            <w:r>
              <w:t>politische Mitbestimmung</w:t>
            </w:r>
          </w:p>
        </w:tc>
        <w:tc>
          <w:tcPr>
            <w:tcW w:w="4810" w:type="dxa"/>
          </w:tcPr>
          <w:p w14:paraId="14C8E507" w14:textId="7934A6E8" w:rsidR="00281A28" w:rsidRDefault="00281A28" w:rsidP="00485F30">
            <w:pPr>
              <w:pStyle w:val="Listenabsatz"/>
              <w:numPr>
                <w:ilvl w:val="0"/>
                <w:numId w:val="2"/>
              </w:numPr>
            </w:pPr>
          </w:p>
        </w:tc>
      </w:tr>
      <w:tr w:rsidR="00281A28" w14:paraId="40DB353B" w14:textId="77777777" w:rsidTr="005A41DC">
        <w:tc>
          <w:tcPr>
            <w:tcW w:w="3686" w:type="dxa"/>
          </w:tcPr>
          <w:p w14:paraId="7B1C1329" w14:textId="64736C2A" w:rsidR="00281A28" w:rsidRDefault="000E245E" w:rsidP="00281A28">
            <w:r>
              <w:t>Anknüpfungspunkte</w:t>
            </w:r>
          </w:p>
        </w:tc>
        <w:tc>
          <w:tcPr>
            <w:tcW w:w="5824" w:type="dxa"/>
          </w:tcPr>
          <w:p w14:paraId="69D1E074" w14:textId="77777777" w:rsidR="00281A28" w:rsidRDefault="000E245E" w:rsidP="00281A28">
            <w:r>
              <w:t>fächerübergreifend</w:t>
            </w:r>
          </w:p>
          <w:p w14:paraId="51A7BB5F" w14:textId="77777777" w:rsidR="000E245E" w:rsidRDefault="000E245E" w:rsidP="00281A28">
            <w:r>
              <w:t>themenübergreifend</w:t>
            </w:r>
          </w:p>
          <w:p w14:paraId="7F180C3E" w14:textId="07BE898B" w:rsidR="000E245E" w:rsidRDefault="000E245E" w:rsidP="00281A28">
            <w:r>
              <w:t>Eigenständigkeit</w:t>
            </w:r>
          </w:p>
        </w:tc>
        <w:tc>
          <w:tcPr>
            <w:tcW w:w="4810" w:type="dxa"/>
          </w:tcPr>
          <w:p w14:paraId="589AAC92" w14:textId="77777777" w:rsidR="00281A28" w:rsidRDefault="00281A28" w:rsidP="00281A28"/>
        </w:tc>
      </w:tr>
    </w:tbl>
    <w:p w14:paraId="7AD145AC" w14:textId="77777777" w:rsidR="00281A28" w:rsidRPr="00281A28" w:rsidRDefault="00281A28" w:rsidP="00281A28"/>
    <w:sectPr w:rsidR="00281A28" w:rsidRPr="00281A28" w:rsidSect="00281A28"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66D"/>
    <w:multiLevelType w:val="hybridMultilevel"/>
    <w:tmpl w:val="6B0C2D8A"/>
    <w:lvl w:ilvl="0" w:tplc="BC86D986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AEE"/>
    <w:multiLevelType w:val="hybridMultilevel"/>
    <w:tmpl w:val="1F3A4DF0"/>
    <w:lvl w:ilvl="0" w:tplc="D3BED056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8"/>
    <w:rsid w:val="000043AA"/>
    <w:rsid w:val="00062043"/>
    <w:rsid w:val="000E245E"/>
    <w:rsid w:val="000F2DDA"/>
    <w:rsid w:val="001E4AB2"/>
    <w:rsid w:val="00281A28"/>
    <w:rsid w:val="0039329F"/>
    <w:rsid w:val="00485F30"/>
    <w:rsid w:val="004C5432"/>
    <w:rsid w:val="004E35E8"/>
    <w:rsid w:val="00506B41"/>
    <w:rsid w:val="005A41DC"/>
    <w:rsid w:val="0061196A"/>
    <w:rsid w:val="00671870"/>
    <w:rsid w:val="006C6D79"/>
    <w:rsid w:val="00711C33"/>
    <w:rsid w:val="00714AB9"/>
    <w:rsid w:val="0080719D"/>
    <w:rsid w:val="00824F90"/>
    <w:rsid w:val="00997F39"/>
    <w:rsid w:val="009C5354"/>
    <w:rsid w:val="00A4583D"/>
    <w:rsid w:val="00B03BA4"/>
    <w:rsid w:val="00BB5D5A"/>
    <w:rsid w:val="00D32017"/>
    <w:rsid w:val="00D93F5D"/>
    <w:rsid w:val="00DB3525"/>
    <w:rsid w:val="00E11935"/>
    <w:rsid w:val="00F47AB8"/>
    <w:rsid w:val="00F57B8F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49BBD"/>
  <w14:defaultImageDpi w14:val="300"/>
  <w15:docId w15:val="{2A4A164D-EC40-704E-8789-2DB8F42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32017"/>
    <w:pPr>
      <w:spacing w:line="312" w:lineRule="auto"/>
      <w:jc w:val="both"/>
    </w:pPr>
    <w:rPr>
      <w:rFonts w:ascii="Garamond" w:hAnsi="Garamond"/>
    </w:rPr>
  </w:style>
  <w:style w:type="paragraph" w:styleId="berschrift1">
    <w:name w:val="heading 1"/>
    <w:next w:val="Standard"/>
    <w:link w:val="berschrift1Zchn"/>
    <w:uiPriority w:val="9"/>
    <w:qFormat/>
    <w:rsid w:val="001E4AB2"/>
    <w:pPr>
      <w:keepNext/>
      <w:pageBreakBefore/>
      <w:widowControl w:val="0"/>
      <w:spacing w:after="120" w:line="288" w:lineRule="auto"/>
      <w:outlineLvl w:val="0"/>
    </w:pPr>
    <w:rPr>
      <w:rFonts w:ascii="Helvetica" w:eastAsiaTheme="majorEastAsia" w:hAnsi="Helvetica" w:cstheme="majorBidi"/>
      <w:b/>
      <w:bCs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1E4AB2"/>
    <w:pPr>
      <w:keepNext/>
      <w:widowControl w:val="0"/>
      <w:spacing w:before="200" w:after="120" w:line="288" w:lineRule="auto"/>
      <w:outlineLvl w:val="1"/>
    </w:pPr>
    <w:rPr>
      <w:rFonts w:ascii="Helvetica" w:eastAsiaTheme="majorEastAsia" w:hAnsi="Helvetic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4AB2"/>
    <w:pPr>
      <w:keepNext/>
      <w:widowControl w:val="0"/>
      <w:spacing w:before="200" w:after="120" w:line="288" w:lineRule="auto"/>
      <w:jc w:val="left"/>
      <w:outlineLvl w:val="2"/>
    </w:pPr>
    <w:rPr>
      <w:rFonts w:ascii="Helvetica" w:eastAsiaTheme="majorEastAsia" w:hAnsi="Helvetic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2DDA"/>
    <w:pPr>
      <w:keepNext/>
      <w:keepLines/>
      <w:spacing w:before="200"/>
      <w:jc w:val="left"/>
      <w:outlineLvl w:val="3"/>
    </w:pPr>
    <w:rPr>
      <w:rFonts w:ascii="Helvetica Neue" w:eastAsiaTheme="majorEastAsia" w:hAnsi="Helvetica Neue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62043"/>
    <w:pPr>
      <w:keepNext/>
      <w:keepLines/>
      <w:suppressAutoHyphens/>
      <w:spacing w:before="200"/>
      <w:jc w:val="left"/>
      <w:outlineLvl w:val="4"/>
    </w:pPr>
    <w:rPr>
      <w:rFonts w:ascii="Helvetica Neue" w:eastAsiaTheme="majorEastAsia" w:hAnsi="Helvetica Neue" w:cstheme="majorBidi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196A"/>
    <w:pPr>
      <w:keepNext/>
      <w:keepLines/>
      <w:spacing w:before="40"/>
      <w:jc w:val="left"/>
      <w:outlineLvl w:val="5"/>
    </w:pPr>
    <w:rPr>
      <w:rFonts w:ascii="Helvetica Neue" w:eastAsiaTheme="majorEastAsia" w:hAnsi="Helvetica Neue" w:cstheme="majorBidi"/>
      <w:color w:val="000000" w:themeColor="text1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4AB2"/>
    <w:rPr>
      <w:rFonts w:ascii="Helvetica" w:eastAsiaTheme="majorEastAsia" w:hAnsi="Helvetica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4AB2"/>
    <w:rPr>
      <w:rFonts w:ascii="Helvetica" w:eastAsiaTheme="majorEastAsia" w:hAnsi="Helvetic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4AB2"/>
    <w:rPr>
      <w:rFonts w:ascii="Helvetica" w:eastAsiaTheme="majorEastAsia" w:hAnsi="Helvetica" w:cstheme="majorBidi"/>
      <w:b/>
      <w:bCs/>
      <w:sz w:val="26"/>
    </w:rPr>
  </w:style>
  <w:style w:type="paragraph" w:customStyle="1" w:styleId="Standardeingerckt">
    <w:name w:val="Standard_eingerückt"/>
    <w:basedOn w:val="Standard"/>
    <w:next w:val="Standard"/>
    <w:qFormat/>
    <w:rsid w:val="009C5354"/>
    <w:pPr>
      <w:adjustRightInd w:val="0"/>
      <w:ind w:firstLine="425"/>
    </w:pPr>
  </w:style>
  <w:style w:type="character" w:styleId="Seitenzahl">
    <w:name w:val="page number"/>
    <w:basedOn w:val="Absatz-Standardschriftart"/>
    <w:uiPriority w:val="99"/>
    <w:semiHidden/>
    <w:unhideWhenUsed/>
    <w:rsid w:val="00E11935"/>
    <w:rPr>
      <w:rFonts w:ascii="Helvetica" w:hAnsi="Helvetica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2DDA"/>
    <w:rPr>
      <w:rFonts w:ascii="Helvetica Neue" w:eastAsiaTheme="majorEastAsia" w:hAnsi="Helvetica Neue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2043"/>
    <w:rPr>
      <w:rFonts w:ascii="Helvetica Neue" w:eastAsiaTheme="majorEastAsia" w:hAnsi="Helvetica Neue" w:cstheme="majorBidi"/>
      <w:sz w:val="22"/>
    </w:rPr>
  </w:style>
  <w:style w:type="paragraph" w:customStyle="1" w:styleId="Blockzitat">
    <w:name w:val="Blockzitat"/>
    <w:basedOn w:val="Standard"/>
    <w:next w:val="Standard"/>
    <w:qFormat/>
    <w:rsid w:val="009C5354"/>
    <w:pPr>
      <w:spacing w:before="60" w:after="60" w:line="240" w:lineRule="auto"/>
      <w:ind w:left="284" w:right="284"/>
    </w:pPr>
    <w:rPr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196A"/>
    <w:rPr>
      <w:rFonts w:ascii="Helvetica Neue" w:eastAsiaTheme="majorEastAsia" w:hAnsi="Helvetica Neue" w:cstheme="majorBidi"/>
      <w:color w:val="000000" w:themeColor="text1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62043"/>
    <w:pPr>
      <w:keepNext/>
      <w:suppressAutoHyphens/>
      <w:spacing w:after="240" w:line="240" w:lineRule="auto"/>
      <w:jc w:val="left"/>
    </w:pPr>
    <w:rPr>
      <w:rFonts w:ascii="Helvetica" w:eastAsiaTheme="majorEastAsia" w:hAnsi="Helvetica" w:cstheme="majorBidi"/>
      <w:b/>
      <w:bCs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2043"/>
    <w:rPr>
      <w:rFonts w:ascii="Helvetica" w:eastAsiaTheme="majorEastAsia" w:hAnsi="Helvetica" w:cstheme="majorBidi"/>
      <w:b/>
      <w:bCs/>
      <w:spacing w:val="-10"/>
      <w:kern w:val="28"/>
      <w:sz w:val="44"/>
      <w:szCs w:val="56"/>
    </w:rPr>
  </w:style>
  <w:style w:type="paragraph" w:styleId="Listenabsatz">
    <w:name w:val="List Paragraph"/>
    <w:basedOn w:val="Standard"/>
    <w:uiPriority w:val="34"/>
    <w:qFormat/>
    <w:rsid w:val="00FF540C"/>
    <w:pPr>
      <w:spacing w:before="120" w:after="120" w:line="252" w:lineRule="auto"/>
      <w:contextualSpacing/>
      <w:jc w:val="left"/>
    </w:pPr>
    <w:rPr>
      <w:rFonts w:eastAsia="Times New Roman" w:cs="Times New Roman"/>
      <w:sz w:val="23"/>
    </w:rPr>
  </w:style>
  <w:style w:type="table" w:styleId="Tabellenraster">
    <w:name w:val="Table Grid"/>
    <w:basedOn w:val="NormaleTabelle"/>
    <w:uiPriority w:val="59"/>
    <w:rsid w:val="0028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goeke/Documents/Systemdateien/Vorlagen/Meine%20Vorlagen/Pascal%20Goek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D0DFE-EC69-D445-AC6F-8F459CF7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Pascal Goeke.dotx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Vorschlag für eine Geschäftsordnung der neu einzurichtenden lokalen Ethikkommiss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Goeke</dc:creator>
  <cp:keywords/>
  <dc:description/>
  <cp:lastModifiedBy>Pascal Goeke</cp:lastModifiedBy>
  <cp:revision>1</cp:revision>
  <dcterms:created xsi:type="dcterms:W3CDTF">2021-12-10T08:37:00Z</dcterms:created>
  <dcterms:modified xsi:type="dcterms:W3CDTF">2021-12-10T13:17:00Z</dcterms:modified>
</cp:coreProperties>
</file>