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2D8" w:rsidRDefault="00BA22D8" w:rsidP="00BA22D8">
      <w:pPr>
        <w:pBdr>
          <w:top w:val="single" w:sz="4" w:space="1" w:color="auto"/>
          <w:left w:val="single" w:sz="4" w:space="4" w:color="auto"/>
          <w:bottom w:val="single" w:sz="4" w:space="1" w:color="auto"/>
          <w:right w:val="single" w:sz="4" w:space="4" w:color="auto"/>
        </w:pBdr>
        <w:spacing w:after="0" w:line="240" w:lineRule="auto"/>
        <w:rPr>
          <w:lang w:val="de-AT"/>
        </w:rPr>
      </w:pPr>
      <w:r>
        <w:rPr>
          <w:lang w:val="de-AT"/>
        </w:rPr>
        <w:t>PH-Linz - Fachbereich Geographie und Wirtschaftskunde</w:t>
      </w:r>
    </w:p>
    <w:p w:rsidR="00BA22D8" w:rsidRDefault="00BA22D8" w:rsidP="00BA22D8">
      <w:pPr>
        <w:pBdr>
          <w:top w:val="single" w:sz="4" w:space="1" w:color="auto"/>
          <w:left w:val="single" w:sz="4" w:space="4" w:color="auto"/>
          <w:bottom w:val="single" w:sz="4" w:space="1" w:color="auto"/>
          <w:right w:val="single" w:sz="4" w:space="4" w:color="auto"/>
        </w:pBdr>
        <w:tabs>
          <w:tab w:val="right" w:pos="8931"/>
        </w:tabs>
        <w:spacing w:after="0" w:line="240" w:lineRule="auto"/>
        <w:rPr>
          <w:lang w:val="de-AT"/>
        </w:rPr>
      </w:pPr>
      <w:r>
        <w:rPr>
          <w:lang w:val="de-AT"/>
        </w:rPr>
        <w:t>Modulprüfung GW6: Demographie Österreichs</w:t>
      </w:r>
      <w:r>
        <w:rPr>
          <w:lang w:val="de-AT"/>
        </w:rPr>
        <w:tab/>
        <w:t>WS 2012/13</w:t>
      </w:r>
    </w:p>
    <w:p w:rsidR="00BA22D8" w:rsidRDefault="00BA22D8">
      <w:pPr>
        <w:rPr>
          <w:lang w:val="de-AT"/>
        </w:rPr>
      </w:pPr>
    </w:p>
    <w:p w:rsidR="00BA22D8" w:rsidRDefault="001E0DE4" w:rsidP="00BA22D8">
      <w:pPr>
        <w:jc w:val="right"/>
        <w:rPr>
          <w:b/>
          <w:lang w:val="de-AT"/>
        </w:rPr>
      </w:pPr>
      <w:r>
        <w:rPr>
          <w:b/>
          <w:lang w:val="de-AT"/>
        </w:rPr>
        <w:t>………………………………………</w:t>
      </w:r>
    </w:p>
    <w:p w:rsidR="00BA22D8" w:rsidRPr="00BA22D8" w:rsidRDefault="001E0DE4" w:rsidP="00BA22D8">
      <w:pPr>
        <w:jc w:val="center"/>
        <w:rPr>
          <w:b/>
          <w:sz w:val="32"/>
          <w:lang w:val="de-AT"/>
        </w:rPr>
      </w:pPr>
      <w:proofErr w:type="spellStart"/>
      <w:r>
        <w:rPr>
          <w:b/>
          <w:sz w:val="32"/>
          <w:lang w:val="de-AT"/>
        </w:rPr>
        <w:t>Altersv</w:t>
      </w:r>
      <w:r w:rsidR="00BF539B">
        <w:rPr>
          <w:b/>
          <w:sz w:val="32"/>
          <w:lang w:val="de-AT"/>
        </w:rPr>
        <w:t>o</w:t>
      </w:r>
      <w:r>
        <w:rPr>
          <w:b/>
          <w:sz w:val="32"/>
          <w:lang w:val="de-AT"/>
        </w:rPr>
        <w:t>rsorgung</w:t>
      </w:r>
      <w:proofErr w:type="spellEnd"/>
      <w:r>
        <w:rPr>
          <w:b/>
          <w:sz w:val="32"/>
          <w:lang w:val="de-AT"/>
        </w:rPr>
        <w:t xml:space="preserve"> 19</w:t>
      </w:r>
      <w:r w:rsidR="003830DB">
        <w:rPr>
          <w:b/>
          <w:sz w:val="32"/>
          <w:lang w:val="de-AT"/>
        </w:rPr>
        <w:t>61</w:t>
      </w:r>
      <w:r>
        <w:rPr>
          <w:b/>
          <w:sz w:val="32"/>
          <w:lang w:val="de-AT"/>
        </w:rPr>
        <w:t xml:space="preserve"> – 2011 </w:t>
      </w:r>
      <w:r>
        <w:rPr>
          <w:b/>
          <w:sz w:val="32"/>
          <w:lang w:val="de-AT"/>
        </w:rPr>
        <w:t>–</w:t>
      </w:r>
      <w:r>
        <w:rPr>
          <w:b/>
          <w:sz w:val="32"/>
          <w:lang w:val="de-AT"/>
        </w:rPr>
        <w:t xml:space="preserve"> 2030</w:t>
      </w:r>
    </w:p>
    <w:p w:rsidR="00BA22D8" w:rsidRDefault="00BA22D8">
      <w:pPr>
        <w:rPr>
          <w:lang w:val="de-A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00"/>
      </w:tblGrid>
      <w:tr w:rsidR="001E0DE4" w:rsidRPr="004B032F" w:rsidTr="004B032F">
        <w:tc>
          <w:tcPr>
            <w:tcW w:w="8188" w:type="dxa"/>
          </w:tcPr>
          <w:p w:rsidR="001E0DE4" w:rsidRPr="004B032F" w:rsidRDefault="001E0DE4" w:rsidP="00BF539B">
            <w:pPr>
              <w:pStyle w:val="Listenabsatz"/>
              <w:numPr>
                <w:ilvl w:val="0"/>
                <w:numId w:val="1"/>
              </w:numPr>
              <w:rPr>
                <w:lang w:val="de-AT"/>
              </w:rPr>
            </w:pPr>
            <w:r>
              <w:rPr>
                <w:lang w:val="de-AT"/>
              </w:rPr>
              <w:t xml:space="preserve">Beschreiben Sie </w:t>
            </w:r>
            <w:r w:rsidR="003830DB">
              <w:rPr>
                <w:lang w:val="de-AT"/>
              </w:rPr>
              <w:t>das</w:t>
            </w:r>
            <w:r>
              <w:rPr>
                <w:lang w:val="de-AT"/>
              </w:rPr>
              <w:t xml:space="preserve"> </w:t>
            </w:r>
            <w:r w:rsidR="00BF539B">
              <w:rPr>
                <w:lang w:val="de-AT"/>
              </w:rPr>
              <w:t>Prinzip</w:t>
            </w:r>
            <w:r>
              <w:rPr>
                <w:lang w:val="de-AT"/>
              </w:rPr>
              <w:t xml:space="preserve"> der </w:t>
            </w:r>
            <w:r w:rsidR="003830DB">
              <w:rPr>
                <w:lang w:val="de-AT"/>
              </w:rPr>
              <w:t xml:space="preserve">staatlichen </w:t>
            </w:r>
            <w:proofErr w:type="spellStart"/>
            <w:r w:rsidR="003830DB">
              <w:rPr>
                <w:lang w:val="de-AT"/>
              </w:rPr>
              <w:t>Pension</w:t>
            </w:r>
            <w:r w:rsidR="00BF539B">
              <w:rPr>
                <w:lang w:val="de-AT"/>
              </w:rPr>
              <w:t>vorsorge</w:t>
            </w:r>
            <w:proofErr w:type="spellEnd"/>
            <w:r>
              <w:rPr>
                <w:lang w:val="de-AT"/>
              </w:rPr>
              <w:t>.</w:t>
            </w:r>
          </w:p>
        </w:tc>
        <w:tc>
          <w:tcPr>
            <w:tcW w:w="1100" w:type="dxa"/>
          </w:tcPr>
          <w:p w:rsidR="001E0DE4" w:rsidRPr="004B032F" w:rsidRDefault="001E0DE4" w:rsidP="00120FDD">
            <w:pPr>
              <w:rPr>
                <w:sz w:val="18"/>
                <w:lang w:val="de-AT"/>
              </w:rPr>
            </w:pPr>
            <w:r w:rsidRPr="004B032F">
              <w:rPr>
                <w:sz w:val="18"/>
                <w:lang w:val="de-AT"/>
              </w:rPr>
              <w:t>AFB I</w:t>
            </w:r>
          </w:p>
        </w:tc>
      </w:tr>
      <w:tr w:rsidR="001E0DE4" w:rsidRPr="004B032F" w:rsidTr="004B032F">
        <w:tc>
          <w:tcPr>
            <w:tcW w:w="8188" w:type="dxa"/>
          </w:tcPr>
          <w:p w:rsidR="001E0DE4" w:rsidRPr="004B032F" w:rsidRDefault="003830DB" w:rsidP="00BF539B">
            <w:pPr>
              <w:pStyle w:val="Listenabsatz"/>
              <w:numPr>
                <w:ilvl w:val="0"/>
                <w:numId w:val="1"/>
              </w:numPr>
              <w:rPr>
                <w:lang w:val="de-AT"/>
              </w:rPr>
            </w:pPr>
            <w:r>
              <w:rPr>
                <w:lang w:val="de-AT"/>
              </w:rPr>
              <w:t>Erläutern Sie die Finanzierung der staatlichen Pension</w:t>
            </w:r>
            <w:r w:rsidR="001E0DE4" w:rsidRPr="004B032F">
              <w:rPr>
                <w:lang w:val="de-AT"/>
              </w:rPr>
              <w:t xml:space="preserve"> </w:t>
            </w:r>
            <w:r>
              <w:rPr>
                <w:lang w:val="de-AT"/>
              </w:rPr>
              <w:t>auf</w:t>
            </w:r>
            <w:r w:rsidR="00BF539B">
              <w:rPr>
                <w:lang w:val="de-AT"/>
              </w:rPr>
              <w:t xml:space="preserve"> Basis</w:t>
            </w:r>
            <w:r>
              <w:rPr>
                <w:lang w:val="de-AT"/>
              </w:rPr>
              <w:t xml:space="preserve"> der </w:t>
            </w:r>
            <w:r w:rsidR="001E0DE4" w:rsidRPr="004B032F">
              <w:rPr>
                <w:lang w:val="de-AT"/>
              </w:rPr>
              <w:t xml:space="preserve">Altersstruktur der österreichischen Bevölkerung von </w:t>
            </w:r>
            <w:r w:rsidR="001E0DE4">
              <w:rPr>
                <w:lang w:val="de-AT"/>
              </w:rPr>
              <w:t>19</w:t>
            </w:r>
            <w:r>
              <w:rPr>
                <w:lang w:val="de-AT"/>
              </w:rPr>
              <w:t>6</w:t>
            </w:r>
            <w:r w:rsidR="001E0DE4">
              <w:rPr>
                <w:lang w:val="de-AT"/>
              </w:rPr>
              <w:t>1</w:t>
            </w:r>
            <w:r>
              <w:rPr>
                <w:lang w:val="de-AT"/>
              </w:rPr>
              <w:t xml:space="preserve"> und 2011</w:t>
            </w:r>
            <w:r w:rsidR="001E0DE4" w:rsidRPr="004B032F">
              <w:rPr>
                <w:lang w:val="de-AT"/>
              </w:rPr>
              <w:t>.</w:t>
            </w:r>
          </w:p>
        </w:tc>
        <w:tc>
          <w:tcPr>
            <w:tcW w:w="1100" w:type="dxa"/>
          </w:tcPr>
          <w:p w:rsidR="001E0DE4" w:rsidRPr="004B032F" w:rsidRDefault="001E0DE4" w:rsidP="004B032F">
            <w:pPr>
              <w:rPr>
                <w:sz w:val="18"/>
                <w:lang w:val="de-AT"/>
              </w:rPr>
            </w:pPr>
            <w:r w:rsidRPr="004B032F">
              <w:rPr>
                <w:sz w:val="18"/>
                <w:lang w:val="de-AT"/>
              </w:rPr>
              <w:t>AFB II</w:t>
            </w:r>
          </w:p>
        </w:tc>
      </w:tr>
      <w:tr w:rsidR="001E0DE4" w:rsidRPr="004B032F" w:rsidTr="004B032F">
        <w:tc>
          <w:tcPr>
            <w:tcW w:w="8188" w:type="dxa"/>
          </w:tcPr>
          <w:p w:rsidR="001E0DE4" w:rsidRPr="004B032F" w:rsidRDefault="001E0DE4" w:rsidP="003830DB">
            <w:pPr>
              <w:pStyle w:val="Listenabsatz"/>
              <w:numPr>
                <w:ilvl w:val="0"/>
                <w:numId w:val="1"/>
              </w:numPr>
              <w:rPr>
                <w:lang w:val="de-AT"/>
              </w:rPr>
            </w:pPr>
            <w:r w:rsidRPr="004B032F">
              <w:rPr>
                <w:lang w:val="de-AT"/>
              </w:rPr>
              <w:t xml:space="preserve">Beschreiben </w:t>
            </w:r>
            <w:r w:rsidR="003830DB">
              <w:rPr>
                <w:lang w:val="de-AT"/>
              </w:rPr>
              <w:t>Sie weitere Möglichkeiten der Altersvorsorge.</w:t>
            </w:r>
          </w:p>
        </w:tc>
        <w:tc>
          <w:tcPr>
            <w:tcW w:w="1100" w:type="dxa"/>
          </w:tcPr>
          <w:p w:rsidR="001E0DE4" w:rsidRPr="004B032F" w:rsidRDefault="003830DB" w:rsidP="004B032F">
            <w:pPr>
              <w:rPr>
                <w:sz w:val="18"/>
                <w:lang w:val="de-AT"/>
              </w:rPr>
            </w:pPr>
            <w:r>
              <w:rPr>
                <w:sz w:val="18"/>
                <w:lang w:val="de-AT"/>
              </w:rPr>
              <w:t>AFB I</w:t>
            </w:r>
          </w:p>
        </w:tc>
      </w:tr>
      <w:tr w:rsidR="001E0DE4" w:rsidRPr="004B032F" w:rsidTr="004B032F">
        <w:tc>
          <w:tcPr>
            <w:tcW w:w="8188" w:type="dxa"/>
          </w:tcPr>
          <w:p w:rsidR="001E0DE4" w:rsidRPr="00277E0A" w:rsidRDefault="00277E0A" w:rsidP="00BF539B">
            <w:pPr>
              <w:pStyle w:val="Listenabsatz"/>
              <w:numPr>
                <w:ilvl w:val="0"/>
                <w:numId w:val="1"/>
              </w:numPr>
              <w:rPr>
                <w:lang w:val="de-AT"/>
              </w:rPr>
            </w:pPr>
            <w:r>
              <w:t>E</w:t>
            </w:r>
            <w:proofErr w:type="spellStart"/>
            <w:r>
              <w:rPr>
                <w:lang w:val="de-AT"/>
              </w:rPr>
              <w:t>rläutern</w:t>
            </w:r>
            <w:proofErr w:type="spellEnd"/>
            <w:r w:rsidR="001E0DE4">
              <w:rPr>
                <w:lang w:val="de-AT"/>
              </w:rPr>
              <w:t xml:space="preserve"> Sie die Situation der Altersversorgung </w:t>
            </w:r>
            <w:r w:rsidR="00BF539B">
              <w:rPr>
                <w:lang w:val="de-AT"/>
              </w:rPr>
              <w:t>2030</w:t>
            </w:r>
            <w:r>
              <w:rPr>
                <w:lang w:val="de-AT"/>
              </w:rPr>
              <w:t xml:space="preserve"> betreffend Finanzierung und der Konsequenzen für die Staatsschuld. Nutzen Sie dabei einige der </w:t>
            </w:r>
            <w:r w:rsidR="001E0DE4">
              <w:rPr>
                <w:lang w:val="de-AT"/>
              </w:rPr>
              <w:t xml:space="preserve">im Zeitungsartikel genannten Aussagen. </w:t>
            </w:r>
          </w:p>
        </w:tc>
        <w:tc>
          <w:tcPr>
            <w:tcW w:w="1100" w:type="dxa"/>
          </w:tcPr>
          <w:p w:rsidR="001E0DE4" w:rsidRPr="004B032F" w:rsidRDefault="001E0DE4" w:rsidP="004B032F">
            <w:pPr>
              <w:rPr>
                <w:sz w:val="18"/>
                <w:lang w:val="de-AT"/>
              </w:rPr>
            </w:pPr>
            <w:r w:rsidRPr="004B032F">
              <w:rPr>
                <w:sz w:val="18"/>
                <w:lang w:val="de-AT"/>
              </w:rPr>
              <w:t>AFB I</w:t>
            </w:r>
            <w:r w:rsidR="00277E0A">
              <w:rPr>
                <w:sz w:val="18"/>
                <w:lang w:val="de-AT"/>
              </w:rPr>
              <w:t>I</w:t>
            </w:r>
          </w:p>
        </w:tc>
      </w:tr>
      <w:tr w:rsidR="00277E0A" w:rsidRPr="004B032F" w:rsidTr="004B032F">
        <w:tc>
          <w:tcPr>
            <w:tcW w:w="8188" w:type="dxa"/>
          </w:tcPr>
          <w:p w:rsidR="00277E0A" w:rsidRDefault="00277E0A" w:rsidP="00BF539B">
            <w:pPr>
              <w:pStyle w:val="Listenabsatz"/>
              <w:numPr>
                <w:ilvl w:val="0"/>
                <w:numId w:val="1"/>
              </w:numPr>
            </w:pPr>
            <w:r>
              <w:rPr>
                <w:lang w:val="de-AT"/>
              </w:rPr>
              <w:t>Entwickeln Sie eine persönliche Altersvorsorge aufgrund dieser Situation</w:t>
            </w:r>
            <w:r>
              <w:rPr>
                <w:lang w:val="de-AT"/>
              </w:rPr>
              <w:t>.</w:t>
            </w:r>
          </w:p>
        </w:tc>
        <w:tc>
          <w:tcPr>
            <w:tcW w:w="1100" w:type="dxa"/>
          </w:tcPr>
          <w:p w:rsidR="00277E0A" w:rsidRPr="004B032F" w:rsidRDefault="00277E0A" w:rsidP="004B032F">
            <w:pPr>
              <w:rPr>
                <w:sz w:val="18"/>
                <w:lang w:val="de-AT"/>
              </w:rPr>
            </w:pPr>
            <w:r w:rsidRPr="004B032F">
              <w:rPr>
                <w:sz w:val="18"/>
                <w:lang w:val="de-AT"/>
              </w:rPr>
              <w:t>AFB I</w:t>
            </w:r>
            <w:r>
              <w:rPr>
                <w:sz w:val="18"/>
                <w:lang w:val="de-AT"/>
              </w:rPr>
              <w:t>II</w:t>
            </w:r>
          </w:p>
        </w:tc>
      </w:tr>
    </w:tbl>
    <w:p w:rsidR="004B032F" w:rsidRDefault="004B032F" w:rsidP="004B032F">
      <w:pPr>
        <w:rPr>
          <w:lang w:val="de-A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626"/>
      </w:tblGrid>
      <w:tr w:rsidR="004B032F" w:rsidTr="004B032F">
        <w:tc>
          <w:tcPr>
            <w:tcW w:w="7610" w:type="dxa"/>
          </w:tcPr>
          <w:p w:rsidR="004B032F" w:rsidRDefault="003830DB" w:rsidP="00C25D9A">
            <w:pPr>
              <w:rPr>
                <w:lang w:val="de-AT"/>
              </w:rPr>
            </w:pPr>
            <w:r>
              <w:rPr>
                <w:noProof/>
                <w:lang w:val="de-AT" w:eastAsia="de-AT"/>
              </w:rPr>
              <w:drawing>
                <wp:inline distT="0" distB="0" distL="0" distR="0">
                  <wp:extent cx="2788391" cy="2110657"/>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vPyramide196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87253" cy="2109796"/>
                          </a:xfrm>
                          <a:prstGeom prst="rect">
                            <a:avLst/>
                          </a:prstGeom>
                        </pic:spPr>
                      </pic:pic>
                    </a:graphicData>
                  </a:graphic>
                </wp:inline>
              </w:drawing>
            </w:r>
          </w:p>
        </w:tc>
        <w:tc>
          <w:tcPr>
            <w:tcW w:w="958" w:type="dxa"/>
          </w:tcPr>
          <w:p w:rsidR="004B032F" w:rsidRDefault="004B032F" w:rsidP="00C25D9A">
            <w:pPr>
              <w:rPr>
                <w:lang w:val="de-AT"/>
              </w:rPr>
            </w:pPr>
            <w:r>
              <w:rPr>
                <w:noProof/>
                <w:lang w:val="de-AT" w:eastAsia="de-AT"/>
              </w:rPr>
              <w:drawing>
                <wp:inline distT="0" distB="0" distL="0" distR="0" wp14:anchorId="30E83D5A" wp14:editId="58867BF0">
                  <wp:extent cx="2796589" cy="2113472"/>
                  <wp:effectExtent l="0" t="0" r="381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vPyramide20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4381" cy="2111803"/>
                          </a:xfrm>
                          <a:prstGeom prst="rect">
                            <a:avLst/>
                          </a:prstGeom>
                        </pic:spPr>
                      </pic:pic>
                    </a:graphicData>
                  </a:graphic>
                </wp:inline>
              </w:drawing>
            </w:r>
          </w:p>
        </w:tc>
      </w:tr>
      <w:tr w:rsidR="004B032F" w:rsidTr="004B032F">
        <w:tc>
          <w:tcPr>
            <w:tcW w:w="7610" w:type="dxa"/>
          </w:tcPr>
          <w:p w:rsidR="004B032F" w:rsidRDefault="004B032F" w:rsidP="003830DB">
            <w:pPr>
              <w:rPr>
                <w:lang w:val="de-AT"/>
              </w:rPr>
            </w:pPr>
            <w:r>
              <w:rPr>
                <w:lang w:val="de-AT"/>
              </w:rPr>
              <w:t xml:space="preserve">Abb. 1: </w:t>
            </w:r>
            <w:r w:rsidR="003830DB">
              <w:rPr>
                <w:lang w:val="de-AT"/>
              </w:rPr>
              <w:t>Altersstruktur</w:t>
            </w:r>
            <w:r>
              <w:rPr>
                <w:lang w:val="de-AT"/>
              </w:rPr>
              <w:t xml:space="preserve"> Österreich</w:t>
            </w:r>
            <w:r w:rsidR="003830DB">
              <w:rPr>
                <w:lang w:val="de-AT"/>
              </w:rPr>
              <w:t>s</w:t>
            </w:r>
            <w:r>
              <w:rPr>
                <w:lang w:val="de-AT"/>
              </w:rPr>
              <w:t xml:space="preserve"> 19</w:t>
            </w:r>
            <w:r w:rsidR="003830DB">
              <w:rPr>
                <w:lang w:val="de-AT"/>
              </w:rPr>
              <w:t>6</w:t>
            </w:r>
            <w:r>
              <w:rPr>
                <w:lang w:val="de-AT"/>
              </w:rPr>
              <w:t>1</w:t>
            </w:r>
          </w:p>
        </w:tc>
        <w:tc>
          <w:tcPr>
            <w:tcW w:w="958" w:type="dxa"/>
          </w:tcPr>
          <w:p w:rsidR="004B032F" w:rsidRDefault="004B032F" w:rsidP="003830DB">
            <w:pPr>
              <w:rPr>
                <w:lang w:val="de-AT"/>
              </w:rPr>
            </w:pPr>
            <w:r>
              <w:rPr>
                <w:lang w:val="de-AT"/>
              </w:rPr>
              <w:t xml:space="preserve">Abb. 2: </w:t>
            </w:r>
            <w:r w:rsidR="003830DB">
              <w:rPr>
                <w:lang w:val="de-AT"/>
              </w:rPr>
              <w:t>Altersstruktur Österreichs</w:t>
            </w:r>
            <w:r>
              <w:rPr>
                <w:lang w:val="de-AT"/>
              </w:rPr>
              <w:t xml:space="preserve"> 2011</w:t>
            </w:r>
          </w:p>
        </w:tc>
      </w:tr>
    </w:tbl>
    <w:p w:rsidR="00DB54B4" w:rsidRDefault="00DB54B4" w:rsidP="005261F5">
      <w:pPr>
        <w:shd w:val="clear" w:color="auto" w:fill="FFFFFF"/>
        <w:spacing w:after="0" w:line="240" w:lineRule="auto"/>
        <w:outlineLvl w:val="1"/>
        <w:rPr>
          <w:rFonts w:ascii="Arial" w:eastAsia="Times New Roman" w:hAnsi="Arial" w:cs="Arial"/>
          <w:b/>
          <w:bCs/>
          <w:color w:val="00468E"/>
          <w:kern w:val="36"/>
          <w:sz w:val="18"/>
          <w:szCs w:val="18"/>
          <w:lang w:val="de-AT" w:eastAsia="de-AT"/>
        </w:rPr>
        <w:sectPr w:rsidR="00DB54B4" w:rsidSect="00DB54B4">
          <w:type w:val="continuous"/>
          <w:pgSz w:w="11906" w:h="16838"/>
          <w:pgMar w:top="1417" w:right="1417" w:bottom="426" w:left="1417" w:header="708" w:footer="708" w:gutter="0"/>
          <w:cols w:space="282"/>
          <w:docGrid w:linePitch="360"/>
        </w:sectPr>
      </w:pPr>
    </w:p>
    <w:p w:rsidR="005261F5" w:rsidRPr="005261F5" w:rsidRDefault="005261F5" w:rsidP="005261F5">
      <w:pPr>
        <w:shd w:val="clear" w:color="auto" w:fill="FFFFFF"/>
        <w:spacing w:after="0" w:line="240" w:lineRule="auto"/>
        <w:outlineLvl w:val="1"/>
        <w:rPr>
          <w:rFonts w:ascii="Arial" w:eastAsia="Times New Roman" w:hAnsi="Arial" w:cs="Arial"/>
          <w:b/>
          <w:bCs/>
          <w:color w:val="00468E"/>
          <w:kern w:val="36"/>
          <w:sz w:val="18"/>
          <w:szCs w:val="18"/>
          <w:lang w:val="de-AT" w:eastAsia="de-AT"/>
        </w:rPr>
      </w:pPr>
      <w:r w:rsidRPr="005261F5">
        <w:rPr>
          <w:rFonts w:ascii="Arial" w:eastAsia="Times New Roman" w:hAnsi="Arial" w:cs="Arial"/>
          <w:b/>
          <w:bCs/>
          <w:color w:val="00468E"/>
          <w:kern w:val="36"/>
          <w:sz w:val="18"/>
          <w:szCs w:val="18"/>
          <w:lang w:val="de-AT" w:eastAsia="de-AT"/>
        </w:rPr>
        <w:lastRenderedPageBreak/>
        <w:t>Fitch warnt Österreich vor „Altersschock“</w:t>
      </w:r>
    </w:p>
    <w:p w:rsidR="005261F5" w:rsidRPr="005261F5" w:rsidRDefault="005261F5" w:rsidP="005261F5">
      <w:pPr>
        <w:shd w:val="clear" w:color="auto" w:fill="FFFFFF"/>
        <w:spacing w:after="0" w:line="240" w:lineRule="auto"/>
        <w:rPr>
          <w:rFonts w:ascii="Verdana" w:eastAsia="Times New Roman" w:hAnsi="Verdana" w:cs="Times New Roman"/>
          <w:color w:val="A2A7BC"/>
          <w:sz w:val="18"/>
          <w:szCs w:val="18"/>
          <w:lang w:val="de-AT" w:eastAsia="de-AT"/>
        </w:rPr>
      </w:pPr>
      <w:r w:rsidRPr="005261F5">
        <w:rPr>
          <w:rFonts w:ascii="Verdana" w:eastAsia="Times New Roman" w:hAnsi="Verdana" w:cs="Times New Roman"/>
          <w:color w:val="A2A7BC"/>
          <w:sz w:val="18"/>
          <w:szCs w:val="18"/>
          <w:lang w:val="de-AT" w:eastAsia="de-AT"/>
        </w:rPr>
        <w:t>22.01.2013 | 17:16 |  Von Matthias Auer (Die Presse)</w:t>
      </w:r>
    </w:p>
    <w:p w:rsidR="005261F5" w:rsidRDefault="005261F5" w:rsidP="005261F5">
      <w:pPr>
        <w:shd w:val="clear" w:color="auto" w:fill="FFFFFF"/>
        <w:spacing w:after="0" w:line="240" w:lineRule="auto"/>
        <w:rPr>
          <w:rFonts w:ascii="Arial" w:eastAsia="Times New Roman" w:hAnsi="Arial" w:cs="Arial"/>
          <w:b/>
          <w:bCs/>
          <w:color w:val="313131"/>
          <w:sz w:val="18"/>
          <w:szCs w:val="18"/>
          <w:lang w:val="de-AT" w:eastAsia="de-AT"/>
        </w:rPr>
      </w:pPr>
      <w:r w:rsidRPr="005261F5">
        <w:rPr>
          <w:rFonts w:ascii="Arial" w:eastAsia="Times New Roman" w:hAnsi="Arial" w:cs="Arial"/>
          <w:b/>
          <w:bCs/>
          <w:color w:val="313131"/>
          <w:sz w:val="18"/>
          <w:szCs w:val="18"/>
          <w:lang w:val="de-AT" w:eastAsia="de-AT"/>
        </w:rPr>
        <w:t>Der Finanzkrise folgt die Pensionskrise, sagt die Ratingagentur. Die Kosten der rapiden Alterung werden Österreichs Staatsschuldenquote bis 2050 mehr als verdoppeln. Mittelfristig ist die Bonität des Landes in Gefahr.</w:t>
      </w:r>
    </w:p>
    <w:p w:rsidR="00DB54B4" w:rsidRPr="005261F5" w:rsidRDefault="00DB54B4" w:rsidP="005261F5">
      <w:pPr>
        <w:shd w:val="clear" w:color="auto" w:fill="FFFFFF"/>
        <w:spacing w:after="0" w:line="240" w:lineRule="auto"/>
        <w:rPr>
          <w:rFonts w:ascii="Arial" w:eastAsia="Times New Roman" w:hAnsi="Arial" w:cs="Arial"/>
          <w:color w:val="313131"/>
          <w:sz w:val="18"/>
          <w:szCs w:val="18"/>
          <w:lang w:val="de-AT" w:eastAsia="de-AT"/>
        </w:rPr>
      </w:pPr>
    </w:p>
    <w:p w:rsidR="005261F5" w:rsidRPr="005261F5" w:rsidRDefault="005261F5" w:rsidP="005261F5">
      <w:pPr>
        <w:shd w:val="clear" w:color="auto" w:fill="FFFFFF"/>
        <w:spacing w:after="0" w:line="240" w:lineRule="auto"/>
        <w:rPr>
          <w:rFonts w:ascii="Verdana" w:eastAsia="Times New Roman" w:hAnsi="Verdana" w:cs="Times New Roman"/>
          <w:color w:val="313131"/>
          <w:sz w:val="18"/>
          <w:szCs w:val="18"/>
          <w:lang w:val="de-AT" w:eastAsia="de-AT"/>
        </w:rPr>
      </w:pPr>
      <w:r w:rsidRPr="005261F5">
        <w:rPr>
          <w:rFonts w:ascii="Verdana" w:eastAsia="Times New Roman" w:hAnsi="Verdana" w:cs="Times New Roman"/>
          <w:b/>
          <w:bCs/>
          <w:color w:val="313131"/>
          <w:sz w:val="18"/>
          <w:szCs w:val="18"/>
          <w:lang w:val="de-AT" w:eastAsia="de-AT"/>
        </w:rPr>
        <w:t>Wien</w:t>
      </w:r>
      <w:r w:rsidRPr="005261F5">
        <w:rPr>
          <w:rFonts w:ascii="Verdana" w:eastAsia="Times New Roman" w:hAnsi="Verdana" w:cs="Times New Roman"/>
          <w:color w:val="313131"/>
          <w:sz w:val="18"/>
          <w:szCs w:val="18"/>
          <w:lang w:val="de-AT" w:eastAsia="de-AT"/>
        </w:rPr>
        <w:t>. Im Jahr fünf nach der Lehman-Pleite nagen die Industriestaaten immer noch an den hohen Kosten der Aufräumarbeiten im Finanzsystem. Die Finanzkrise ist längst zur (Staats-)Schuldenkrise mutiert – und die wird sich so bald nicht wieder verabschieden, warnt die Ratingagentur Fitch. Denn mit der rapide alternden Bevölkerung ist den EU- und OECD-Ländern die nächste Budgetbombe schon gewiss. Bis 2030 wird sich die Zahl der über 64-Jährigen in den westlichen Nationen auf 34 Prozent mehr als verdoppeln. Und mit ihnen die Ausgaben der Staaten, um sie zu versorgen. Mitten unter den zehn Ländern, denen der größte „Altersschock“ bevorsteht, ist Österreich.</w:t>
      </w:r>
    </w:p>
    <w:p w:rsidR="005261F5" w:rsidRDefault="005261F5" w:rsidP="005261F5">
      <w:pPr>
        <w:shd w:val="clear" w:color="auto" w:fill="FFFFFF"/>
        <w:spacing w:after="0" w:line="240" w:lineRule="auto"/>
        <w:rPr>
          <w:rFonts w:ascii="Verdana" w:eastAsia="Times New Roman" w:hAnsi="Verdana" w:cs="Times New Roman"/>
          <w:color w:val="313131"/>
          <w:sz w:val="18"/>
          <w:szCs w:val="18"/>
          <w:lang w:val="de-AT" w:eastAsia="de-AT"/>
        </w:rPr>
      </w:pPr>
      <w:r w:rsidRPr="005261F5">
        <w:rPr>
          <w:rFonts w:ascii="Verdana" w:eastAsia="Times New Roman" w:hAnsi="Verdana" w:cs="Times New Roman"/>
          <w:color w:val="313131"/>
          <w:sz w:val="18"/>
          <w:szCs w:val="18"/>
          <w:lang w:val="de-AT" w:eastAsia="de-AT"/>
        </w:rPr>
        <w:t>Vom einsamen Spitzenreiter Japan ist die Alpenrepublik zwar noch weit entfernt. Erschreckend ist die Aussicht des Neuntplatzierten dennoch. Nur zwei Länder weltweit geben im Verhältnis mehr Geld für ihre Pensionisten aus, die sich zudem noch auffallend jung aus dem Arbeitsleben zurückziehen. Im Schnitt gehen Österreicher mit 58,1 Jahren in den Ruhestand und beziehen dort eine der höchsten Pensionen weltweit. Im Schnitt landen knapp 90 Prozent des letzten Nettoeinkommens auch im Ruhestand regelmäßig auf dem Konto. Spitzenreiter ist hier Griechenland mit einer Nettoersatzrate von über 111 Prozent. Die Folge: Im Vorjahr mussten die heimischen Steuerzahler über zehn Milliarden Euro für Pensionen zuschießen (davon allerdings nur 3,9 Milliarden für ASVG-Pensionen).</w:t>
      </w:r>
      <w:r w:rsidRPr="005261F5">
        <w:rPr>
          <w:rFonts w:ascii="Verdana" w:eastAsia="Times New Roman" w:hAnsi="Verdana" w:cs="Times New Roman"/>
          <w:color w:val="313131"/>
          <w:sz w:val="18"/>
          <w:szCs w:val="18"/>
          <w:lang w:val="de-AT" w:eastAsia="de-AT"/>
        </w:rPr>
        <w:br/>
        <w:t xml:space="preserve">Ändert sich daran nichts, werden alleine die zusätzlichen Kosten der Alterung Österreichs Staatsschuldenquote bis 2050 um 146,3 </w:t>
      </w:r>
      <w:r w:rsidRPr="005261F5">
        <w:rPr>
          <w:rFonts w:ascii="Verdana" w:eastAsia="Times New Roman" w:hAnsi="Verdana" w:cs="Times New Roman"/>
          <w:color w:val="313131"/>
          <w:sz w:val="18"/>
          <w:szCs w:val="18"/>
          <w:lang w:val="de-AT" w:eastAsia="de-AT"/>
        </w:rPr>
        <w:lastRenderedPageBreak/>
        <w:t>Prozent in die Höhe treiben, warnt Fitch. Und das, obwohl die Ratingagentur der Republik ab 2015 zumindest einen ausgeglichenen Haushalt zutraut. Damit liegt das Land erstens deutlich schlechter als noch bei der letzten Einschätzung vor vier Jahren und zweitens weit über dem Schnitt der Euroländer. Überraschend gut steigen hingegen die Krisenländer Griechenland, Portugal und Italien aus. Mit den jüngsten Reformen hätten sie die Gefahren der Alterung gut abfedern können, zollt Fitch Anerkennung und schickt die gute Nachricht für alle Industrienationen hinterher: Die Probleme sind lösbar, es ist nicht zu spät. Das gilt auch für Österreich.</w:t>
      </w:r>
      <w:r w:rsidRPr="005261F5">
        <w:rPr>
          <w:rFonts w:ascii="Verdana" w:eastAsia="Times New Roman" w:hAnsi="Verdana" w:cs="Times New Roman"/>
          <w:color w:val="313131"/>
          <w:sz w:val="18"/>
          <w:szCs w:val="18"/>
          <w:lang w:val="de-AT" w:eastAsia="de-AT"/>
        </w:rPr>
        <w:br/>
        <w:t xml:space="preserve">Kurzfristig ist der drohende Altersschock für das Budget daher kein Problem für die Bonität des Landes. Gibt es allerdings keine neuen Reformen, muss Österreich spätestens in 17 Jahren mit einem schlechteren Rating rechnen, schreiben die Fitch-Analysten. Derzeit hält das Land bei Fitch ebenso wie bei </w:t>
      </w:r>
      <w:proofErr w:type="spellStart"/>
      <w:r w:rsidRPr="005261F5">
        <w:rPr>
          <w:rFonts w:ascii="Verdana" w:eastAsia="Times New Roman" w:hAnsi="Verdana" w:cs="Times New Roman"/>
          <w:color w:val="313131"/>
          <w:sz w:val="18"/>
          <w:szCs w:val="18"/>
          <w:lang w:val="de-AT" w:eastAsia="de-AT"/>
        </w:rPr>
        <w:t>Moody's</w:t>
      </w:r>
      <w:proofErr w:type="spellEnd"/>
      <w:r w:rsidRPr="005261F5">
        <w:rPr>
          <w:rFonts w:ascii="Verdana" w:eastAsia="Times New Roman" w:hAnsi="Verdana" w:cs="Times New Roman"/>
          <w:color w:val="313131"/>
          <w:sz w:val="18"/>
          <w:szCs w:val="18"/>
          <w:lang w:val="de-AT" w:eastAsia="de-AT"/>
        </w:rPr>
        <w:t xml:space="preserve"> die Bestnote AAA. Standard &amp; </w:t>
      </w:r>
      <w:proofErr w:type="spellStart"/>
      <w:r w:rsidRPr="005261F5">
        <w:rPr>
          <w:rFonts w:ascii="Verdana" w:eastAsia="Times New Roman" w:hAnsi="Verdana" w:cs="Times New Roman"/>
          <w:color w:val="313131"/>
          <w:sz w:val="18"/>
          <w:szCs w:val="18"/>
          <w:lang w:val="de-AT" w:eastAsia="de-AT"/>
        </w:rPr>
        <w:t>Poor's</w:t>
      </w:r>
      <w:proofErr w:type="spellEnd"/>
      <w:r w:rsidRPr="005261F5">
        <w:rPr>
          <w:rFonts w:ascii="Verdana" w:eastAsia="Times New Roman" w:hAnsi="Verdana" w:cs="Times New Roman"/>
          <w:color w:val="313131"/>
          <w:sz w:val="18"/>
          <w:szCs w:val="18"/>
          <w:lang w:val="de-AT" w:eastAsia="de-AT"/>
        </w:rPr>
        <w:t xml:space="preserve"> hat Österreich im Vorjahr um eine Note herabgestuft.</w:t>
      </w:r>
    </w:p>
    <w:p w:rsidR="00DB54B4" w:rsidRPr="005261F5" w:rsidRDefault="00DB54B4" w:rsidP="005261F5">
      <w:pPr>
        <w:shd w:val="clear" w:color="auto" w:fill="FFFFFF"/>
        <w:spacing w:after="0" w:line="240" w:lineRule="auto"/>
        <w:rPr>
          <w:rFonts w:ascii="Verdana" w:eastAsia="Times New Roman" w:hAnsi="Verdana" w:cs="Times New Roman"/>
          <w:color w:val="313131"/>
          <w:sz w:val="18"/>
          <w:szCs w:val="18"/>
          <w:lang w:val="de-AT" w:eastAsia="de-AT"/>
        </w:rPr>
      </w:pPr>
    </w:p>
    <w:p w:rsidR="005261F5" w:rsidRPr="005261F5" w:rsidRDefault="005261F5" w:rsidP="005261F5">
      <w:pPr>
        <w:shd w:val="clear" w:color="auto" w:fill="FFFFFF"/>
        <w:spacing w:after="0" w:line="240" w:lineRule="auto"/>
        <w:outlineLvl w:val="2"/>
        <w:rPr>
          <w:rFonts w:ascii="Arial" w:eastAsia="Times New Roman" w:hAnsi="Arial" w:cs="Arial"/>
          <w:b/>
          <w:bCs/>
          <w:color w:val="313131"/>
          <w:sz w:val="18"/>
          <w:szCs w:val="18"/>
          <w:lang w:val="de-AT" w:eastAsia="de-AT"/>
        </w:rPr>
      </w:pPr>
      <w:r w:rsidRPr="005261F5">
        <w:rPr>
          <w:rFonts w:ascii="Arial" w:eastAsia="Times New Roman" w:hAnsi="Arial" w:cs="Arial"/>
          <w:b/>
          <w:bCs/>
          <w:color w:val="313131"/>
          <w:sz w:val="18"/>
          <w:szCs w:val="18"/>
          <w:lang w:val="de-AT" w:eastAsia="de-AT"/>
        </w:rPr>
        <w:t>Jobs für arbeitswillige Mittfünfziger?</w:t>
      </w:r>
    </w:p>
    <w:p w:rsidR="005261F5" w:rsidRPr="005261F5" w:rsidRDefault="005261F5" w:rsidP="005261F5">
      <w:pPr>
        <w:shd w:val="clear" w:color="auto" w:fill="FFFFFF"/>
        <w:spacing w:after="0" w:line="240" w:lineRule="auto"/>
        <w:rPr>
          <w:rFonts w:ascii="Verdana" w:eastAsia="Times New Roman" w:hAnsi="Verdana" w:cs="Times New Roman"/>
          <w:color w:val="313131"/>
          <w:sz w:val="18"/>
          <w:szCs w:val="18"/>
          <w:lang w:val="de-AT" w:eastAsia="de-AT"/>
        </w:rPr>
      </w:pPr>
      <w:r w:rsidRPr="005261F5">
        <w:rPr>
          <w:rFonts w:ascii="Verdana" w:eastAsia="Times New Roman" w:hAnsi="Verdana" w:cs="Times New Roman"/>
          <w:color w:val="313131"/>
          <w:sz w:val="18"/>
          <w:szCs w:val="18"/>
          <w:lang w:val="de-AT" w:eastAsia="de-AT"/>
        </w:rPr>
        <w:t xml:space="preserve">Wie Pensionsreformen in Österreich aussehen könnten, ist ebenso bekannt wie etliche der Zahlen, die Fitch zusammengetragen hat. Neben der längst überfälligen Angleichung aller Beamtenpensionen an die ASVG-Pensionen heißt das wohl vor allem: Wer länger lebt, muss auch länger arbeiten. Das Anheben des gesetzlichen Antrittsalters alleine wird dafür aber nicht reichen. Die Österreicher müssen auch bereit sein, tatsächlich bis zum offiziellen Pensionsantrittsalter zu arbeiten. Derzeit ist der durchschnittliche Österreicher ein Vierteljahrhundert in der Pension. Jeder Monat, den er länger arbeiten </w:t>
      </w:r>
      <w:proofErr w:type="gramStart"/>
      <w:r w:rsidRPr="005261F5">
        <w:rPr>
          <w:rFonts w:ascii="Verdana" w:eastAsia="Times New Roman" w:hAnsi="Verdana" w:cs="Times New Roman"/>
          <w:color w:val="313131"/>
          <w:sz w:val="18"/>
          <w:szCs w:val="18"/>
          <w:lang w:val="de-AT" w:eastAsia="de-AT"/>
        </w:rPr>
        <w:t>würden</w:t>
      </w:r>
      <w:proofErr w:type="gramEnd"/>
      <w:r w:rsidRPr="005261F5">
        <w:rPr>
          <w:rFonts w:ascii="Verdana" w:eastAsia="Times New Roman" w:hAnsi="Verdana" w:cs="Times New Roman"/>
          <w:color w:val="313131"/>
          <w:sz w:val="18"/>
          <w:szCs w:val="18"/>
          <w:lang w:val="de-AT" w:eastAsia="de-AT"/>
        </w:rPr>
        <w:t>, brächte dem Pensionssystem 100 Mio. Euro. Dafür braucht es aber nicht nur arbeitswillige Mittfünfziger, sondern auch Unternehmen, die bereit sind, diese älteren (und damit derzeit meist auch teureren) Mitarbeiter zu beschäftigen.</w:t>
      </w:r>
    </w:p>
    <w:p w:rsidR="005261F5" w:rsidRDefault="005261F5" w:rsidP="004B032F">
      <w:pPr>
        <w:rPr>
          <w:lang w:val="de-AT"/>
        </w:rPr>
        <w:sectPr w:rsidR="005261F5" w:rsidSect="00DB54B4">
          <w:pgSz w:w="11906" w:h="16838"/>
          <w:pgMar w:top="1417" w:right="1417" w:bottom="426" w:left="1417" w:header="708" w:footer="708" w:gutter="0"/>
          <w:cols w:num="2" w:space="282"/>
          <w:docGrid w:linePitch="360"/>
        </w:sectPr>
      </w:pPr>
    </w:p>
    <w:p w:rsidR="00DB54B4" w:rsidRDefault="00DB54B4" w:rsidP="004B032F">
      <w:pPr>
        <w:rPr>
          <w:lang w:val="de-AT"/>
        </w:rPr>
      </w:pPr>
    </w:p>
    <w:p w:rsidR="005261F5" w:rsidRDefault="00DB54B4" w:rsidP="004B032F">
      <w:pPr>
        <w:rPr>
          <w:lang w:val="de-AT"/>
        </w:rPr>
      </w:pPr>
      <w:r>
        <w:rPr>
          <w:lang w:val="de-AT"/>
        </w:rPr>
        <w:t xml:space="preserve">Abb. 3: Matthias Auer (2013) </w:t>
      </w:r>
      <w:r w:rsidRPr="00DB54B4">
        <w:rPr>
          <w:lang w:val="de-AT"/>
        </w:rPr>
        <w:t>Fitch warnt Österreich vor „Altersschock“</w:t>
      </w:r>
      <w:r>
        <w:rPr>
          <w:lang w:val="de-AT"/>
        </w:rPr>
        <w:t xml:space="preserve">.- In: </w:t>
      </w:r>
      <w:r w:rsidRPr="00BF539B">
        <w:rPr>
          <w:i/>
          <w:lang w:val="de-AT"/>
        </w:rPr>
        <w:t>Die Presse</w:t>
      </w:r>
      <w:r>
        <w:rPr>
          <w:lang w:val="de-AT"/>
        </w:rPr>
        <w:t xml:space="preserve"> 22.1.2013</w:t>
      </w:r>
      <w:r w:rsidR="00BF539B">
        <w:rPr>
          <w:lang w:val="de-AT"/>
        </w:rPr>
        <w:t xml:space="preserve">. Web: </w:t>
      </w:r>
      <w:r w:rsidR="00BF539B" w:rsidRPr="00BF539B">
        <w:rPr>
          <w:lang w:val="de-AT"/>
        </w:rPr>
        <w:t>http://diepresse.com/home/wirtschaft/economist/1335686/Fitch-warnt-Oesterreich-vor-Altersschock?from=suche.intern.portal</w:t>
      </w:r>
      <w:r w:rsidR="00BF539B">
        <w:rPr>
          <w:lang w:val="de-AT"/>
        </w:rPr>
        <w:t xml:space="preserve"> (6.2.2013)</w:t>
      </w:r>
      <w:bookmarkStart w:id="0" w:name="_GoBack"/>
      <w:bookmarkEnd w:id="0"/>
    </w:p>
    <w:p w:rsidR="005261F5" w:rsidRPr="004B032F" w:rsidRDefault="005261F5" w:rsidP="004B032F">
      <w:pPr>
        <w:rPr>
          <w:lang w:val="de-AT"/>
        </w:rPr>
      </w:pPr>
    </w:p>
    <w:sectPr w:rsidR="005261F5" w:rsidRPr="004B032F" w:rsidSect="005261F5">
      <w:type w:val="continuous"/>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D4FF3"/>
    <w:multiLevelType w:val="multilevel"/>
    <w:tmpl w:val="AE6C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690BFF"/>
    <w:multiLevelType w:val="hybridMultilevel"/>
    <w:tmpl w:val="DA348AE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2D8"/>
    <w:rsid w:val="00041D86"/>
    <w:rsid w:val="000C3945"/>
    <w:rsid w:val="001E0DE4"/>
    <w:rsid w:val="00260136"/>
    <w:rsid w:val="00277E0A"/>
    <w:rsid w:val="003830DB"/>
    <w:rsid w:val="004B032F"/>
    <w:rsid w:val="005261F5"/>
    <w:rsid w:val="007814C5"/>
    <w:rsid w:val="008659E5"/>
    <w:rsid w:val="00945F43"/>
    <w:rsid w:val="00972407"/>
    <w:rsid w:val="00B611BD"/>
    <w:rsid w:val="00BA22D8"/>
    <w:rsid w:val="00BF539B"/>
    <w:rsid w:val="00DB54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22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22D8"/>
    <w:rPr>
      <w:rFonts w:ascii="Tahoma" w:hAnsi="Tahoma" w:cs="Tahoma"/>
      <w:sz w:val="16"/>
      <w:szCs w:val="16"/>
    </w:rPr>
  </w:style>
  <w:style w:type="table" w:styleId="Tabellenraster">
    <w:name w:val="Table Grid"/>
    <w:basedOn w:val="NormaleTabelle"/>
    <w:uiPriority w:val="59"/>
    <w:rsid w:val="00BA2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BA22D8"/>
    <w:pPr>
      <w:ind w:left="720"/>
      <w:contextualSpacing/>
    </w:pPr>
  </w:style>
  <w:style w:type="character" w:styleId="Hyperlink">
    <w:name w:val="Hyperlink"/>
    <w:basedOn w:val="Absatz-Standardschriftart"/>
    <w:uiPriority w:val="99"/>
    <w:semiHidden/>
    <w:unhideWhenUsed/>
    <w:rsid w:val="005261F5"/>
    <w:rPr>
      <w:b/>
      <w:bCs/>
      <w:strike w:val="0"/>
      <w:dstrike w:val="0"/>
      <w:color w:val="00468E"/>
      <w:u w:val="none"/>
      <w:effect w:val="none"/>
    </w:rPr>
  </w:style>
  <w:style w:type="character" w:styleId="Fett">
    <w:name w:val="Strong"/>
    <w:basedOn w:val="Absatz-Standardschriftart"/>
    <w:uiPriority w:val="22"/>
    <w:qFormat/>
    <w:rsid w:val="005261F5"/>
    <w:rPr>
      <w:b/>
      <w:bCs/>
    </w:rPr>
  </w:style>
  <w:style w:type="paragraph" w:customStyle="1" w:styleId="articlelead">
    <w:name w:val="articlelead"/>
    <w:basedOn w:val="Standard"/>
    <w:rsid w:val="005261F5"/>
    <w:pPr>
      <w:spacing w:after="150" w:line="312" w:lineRule="atLeast"/>
    </w:pPr>
    <w:rPr>
      <w:rFonts w:ascii="Arial" w:eastAsia="Times New Roman" w:hAnsi="Arial" w:cs="Arial"/>
      <w:sz w:val="23"/>
      <w:szCs w:val="23"/>
      <w:lang w:val="de-AT" w:eastAsia="de-AT"/>
    </w:rPr>
  </w:style>
  <w:style w:type="paragraph" w:customStyle="1" w:styleId="articletime">
    <w:name w:val="articletime"/>
    <w:basedOn w:val="Standard"/>
    <w:rsid w:val="005261F5"/>
    <w:pPr>
      <w:spacing w:after="0" w:line="240" w:lineRule="auto"/>
    </w:pPr>
    <w:rPr>
      <w:rFonts w:ascii="Times New Roman" w:eastAsia="Times New Roman" w:hAnsi="Times New Roman" w:cs="Times New Roman"/>
      <w:color w:val="A2A7BC"/>
      <w:sz w:val="17"/>
      <w:szCs w:val="17"/>
      <w:lang w:val="de-AT" w:eastAsia="de-AT"/>
    </w:rPr>
  </w:style>
  <w:style w:type="character" w:customStyle="1" w:styleId="articleicon2">
    <w:name w:val="articleicon2"/>
    <w:basedOn w:val="Absatz-Standardschriftart"/>
    <w:rsid w:val="005261F5"/>
    <w:rPr>
      <w:vanish w:val="0"/>
      <w:webHidden w:val="0"/>
      <w:color w:val="00468E"/>
      <w:specVanish w:val="0"/>
    </w:rPr>
  </w:style>
  <w:style w:type="character" w:customStyle="1" w:styleId="click4">
    <w:name w:val="click4"/>
    <w:basedOn w:val="Absatz-Standardschriftart"/>
    <w:rsid w:val="005261F5"/>
    <w:rPr>
      <w:color w:val="00468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22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22D8"/>
    <w:rPr>
      <w:rFonts w:ascii="Tahoma" w:hAnsi="Tahoma" w:cs="Tahoma"/>
      <w:sz w:val="16"/>
      <w:szCs w:val="16"/>
    </w:rPr>
  </w:style>
  <w:style w:type="table" w:styleId="Tabellenraster">
    <w:name w:val="Table Grid"/>
    <w:basedOn w:val="NormaleTabelle"/>
    <w:uiPriority w:val="59"/>
    <w:rsid w:val="00BA2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BA22D8"/>
    <w:pPr>
      <w:ind w:left="720"/>
      <w:contextualSpacing/>
    </w:pPr>
  </w:style>
  <w:style w:type="character" w:styleId="Hyperlink">
    <w:name w:val="Hyperlink"/>
    <w:basedOn w:val="Absatz-Standardschriftart"/>
    <w:uiPriority w:val="99"/>
    <w:semiHidden/>
    <w:unhideWhenUsed/>
    <w:rsid w:val="005261F5"/>
    <w:rPr>
      <w:b/>
      <w:bCs/>
      <w:strike w:val="0"/>
      <w:dstrike w:val="0"/>
      <w:color w:val="00468E"/>
      <w:u w:val="none"/>
      <w:effect w:val="none"/>
    </w:rPr>
  </w:style>
  <w:style w:type="character" w:styleId="Fett">
    <w:name w:val="Strong"/>
    <w:basedOn w:val="Absatz-Standardschriftart"/>
    <w:uiPriority w:val="22"/>
    <w:qFormat/>
    <w:rsid w:val="005261F5"/>
    <w:rPr>
      <w:b/>
      <w:bCs/>
    </w:rPr>
  </w:style>
  <w:style w:type="paragraph" w:customStyle="1" w:styleId="articlelead">
    <w:name w:val="articlelead"/>
    <w:basedOn w:val="Standard"/>
    <w:rsid w:val="005261F5"/>
    <w:pPr>
      <w:spacing w:after="150" w:line="312" w:lineRule="atLeast"/>
    </w:pPr>
    <w:rPr>
      <w:rFonts w:ascii="Arial" w:eastAsia="Times New Roman" w:hAnsi="Arial" w:cs="Arial"/>
      <w:sz w:val="23"/>
      <w:szCs w:val="23"/>
      <w:lang w:val="de-AT" w:eastAsia="de-AT"/>
    </w:rPr>
  </w:style>
  <w:style w:type="paragraph" w:customStyle="1" w:styleId="articletime">
    <w:name w:val="articletime"/>
    <w:basedOn w:val="Standard"/>
    <w:rsid w:val="005261F5"/>
    <w:pPr>
      <w:spacing w:after="0" w:line="240" w:lineRule="auto"/>
    </w:pPr>
    <w:rPr>
      <w:rFonts w:ascii="Times New Roman" w:eastAsia="Times New Roman" w:hAnsi="Times New Roman" w:cs="Times New Roman"/>
      <w:color w:val="A2A7BC"/>
      <w:sz w:val="17"/>
      <w:szCs w:val="17"/>
      <w:lang w:val="de-AT" w:eastAsia="de-AT"/>
    </w:rPr>
  </w:style>
  <w:style w:type="character" w:customStyle="1" w:styleId="articleicon2">
    <w:name w:val="articleicon2"/>
    <w:basedOn w:val="Absatz-Standardschriftart"/>
    <w:rsid w:val="005261F5"/>
    <w:rPr>
      <w:vanish w:val="0"/>
      <w:webHidden w:val="0"/>
      <w:color w:val="00468E"/>
      <w:specVanish w:val="0"/>
    </w:rPr>
  </w:style>
  <w:style w:type="character" w:customStyle="1" w:styleId="click4">
    <w:name w:val="click4"/>
    <w:basedOn w:val="Absatz-Standardschriftart"/>
    <w:rsid w:val="005261F5"/>
    <w:rPr>
      <w:color w:val="00468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51234">
      <w:bodyDiv w:val="1"/>
      <w:marLeft w:val="0"/>
      <w:marRight w:val="0"/>
      <w:marTop w:val="0"/>
      <w:marBottom w:val="0"/>
      <w:divBdr>
        <w:top w:val="none" w:sz="0" w:space="0" w:color="auto"/>
        <w:left w:val="none" w:sz="0" w:space="0" w:color="auto"/>
        <w:bottom w:val="none" w:sz="0" w:space="0" w:color="auto"/>
        <w:right w:val="none" w:sz="0" w:space="0" w:color="auto"/>
      </w:divBdr>
      <w:divsChild>
        <w:div w:id="1370373185">
          <w:marLeft w:val="0"/>
          <w:marRight w:val="0"/>
          <w:marTop w:val="0"/>
          <w:marBottom w:val="0"/>
          <w:divBdr>
            <w:top w:val="none" w:sz="0" w:space="0" w:color="auto"/>
            <w:left w:val="none" w:sz="0" w:space="0" w:color="auto"/>
            <w:bottom w:val="none" w:sz="0" w:space="0" w:color="auto"/>
            <w:right w:val="none" w:sz="0" w:space="0" w:color="auto"/>
          </w:divBdr>
          <w:divsChild>
            <w:div w:id="640378856">
              <w:marLeft w:val="0"/>
              <w:marRight w:val="0"/>
              <w:marTop w:val="150"/>
              <w:marBottom w:val="0"/>
              <w:divBdr>
                <w:top w:val="none" w:sz="0" w:space="0" w:color="auto"/>
                <w:left w:val="none" w:sz="0" w:space="0" w:color="auto"/>
                <w:bottom w:val="none" w:sz="0" w:space="0" w:color="auto"/>
                <w:right w:val="single" w:sz="6" w:space="0" w:color="A9B3BF"/>
              </w:divBdr>
              <w:divsChild>
                <w:div w:id="1202013233">
                  <w:marLeft w:val="0"/>
                  <w:marRight w:val="0"/>
                  <w:marTop w:val="0"/>
                  <w:marBottom w:val="0"/>
                  <w:divBdr>
                    <w:top w:val="none" w:sz="0" w:space="0" w:color="auto"/>
                    <w:left w:val="none" w:sz="0" w:space="0" w:color="auto"/>
                    <w:bottom w:val="none" w:sz="0" w:space="0" w:color="auto"/>
                    <w:right w:val="none" w:sz="0" w:space="0" w:color="auto"/>
                  </w:divBdr>
                  <w:divsChild>
                    <w:div w:id="1404529607">
                      <w:marLeft w:val="0"/>
                      <w:marRight w:val="0"/>
                      <w:marTop w:val="150"/>
                      <w:marBottom w:val="0"/>
                      <w:divBdr>
                        <w:top w:val="none" w:sz="0" w:space="0" w:color="auto"/>
                        <w:left w:val="none" w:sz="0" w:space="0" w:color="auto"/>
                        <w:bottom w:val="none" w:sz="0" w:space="0" w:color="auto"/>
                        <w:right w:val="none" w:sz="0" w:space="0" w:color="auto"/>
                      </w:divBdr>
                      <w:divsChild>
                        <w:div w:id="1654479660">
                          <w:marLeft w:val="150"/>
                          <w:marRight w:val="150"/>
                          <w:marTop w:val="0"/>
                          <w:marBottom w:val="0"/>
                          <w:divBdr>
                            <w:top w:val="none" w:sz="0" w:space="0" w:color="auto"/>
                            <w:left w:val="none" w:sz="0" w:space="0" w:color="auto"/>
                            <w:bottom w:val="none" w:sz="0" w:space="0" w:color="auto"/>
                            <w:right w:val="none" w:sz="0" w:space="0" w:color="auto"/>
                          </w:divBdr>
                          <w:divsChild>
                            <w:div w:id="475875843">
                              <w:marLeft w:val="0"/>
                              <w:marRight w:val="0"/>
                              <w:marTop w:val="0"/>
                              <w:marBottom w:val="0"/>
                              <w:divBdr>
                                <w:top w:val="none" w:sz="0" w:space="0" w:color="auto"/>
                                <w:left w:val="none" w:sz="0" w:space="0" w:color="auto"/>
                                <w:bottom w:val="none" w:sz="0" w:space="0" w:color="auto"/>
                                <w:right w:val="none" w:sz="0" w:space="0" w:color="auto"/>
                              </w:divBdr>
                              <w:divsChild>
                                <w:div w:id="1146583983">
                                  <w:marLeft w:val="0"/>
                                  <w:marRight w:val="0"/>
                                  <w:marTop w:val="0"/>
                                  <w:marBottom w:val="0"/>
                                  <w:divBdr>
                                    <w:top w:val="none" w:sz="0" w:space="0" w:color="auto"/>
                                    <w:left w:val="none" w:sz="0" w:space="0" w:color="auto"/>
                                    <w:bottom w:val="none" w:sz="0" w:space="0" w:color="auto"/>
                                    <w:right w:val="none" w:sz="0" w:space="0" w:color="auto"/>
                                  </w:divBdr>
                                  <w:divsChild>
                                    <w:div w:id="2036299914">
                                      <w:marLeft w:val="0"/>
                                      <w:marRight w:val="300"/>
                                      <w:marTop w:val="0"/>
                                      <w:marBottom w:val="0"/>
                                      <w:divBdr>
                                        <w:top w:val="none" w:sz="0" w:space="0" w:color="auto"/>
                                        <w:left w:val="none" w:sz="0" w:space="0" w:color="auto"/>
                                        <w:bottom w:val="none" w:sz="0" w:space="0" w:color="auto"/>
                                        <w:right w:val="none" w:sz="0" w:space="0" w:color="auto"/>
                                      </w:divBdr>
                                      <w:divsChild>
                                        <w:div w:id="1536235344">
                                          <w:marLeft w:val="0"/>
                                          <w:marRight w:val="0"/>
                                          <w:marTop w:val="75"/>
                                          <w:marBottom w:val="150"/>
                                          <w:divBdr>
                                            <w:top w:val="single" w:sz="6" w:space="4" w:color="A3A3A3"/>
                                            <w:left w:val="single" w:sz="6" w:space="4" w:color="A3A3A3"/>
                                            <w:bottom w:val="single" w:sz="6" w:space="4" w:color="A3A3A3"/>
                                            <w:right w:val="single" w:sz="6" w:space="4" w:color="A3A3A3"/>
                                          </w:divBdr>
                                        </w:div>
                                        <w:div w:id="1448965535">
                                          <w:marLeft w:val="0"/>
                                          <w:marRight w:val="0"/>
                                          <w:marTop w:val="0"/>
                                          <w:marBottom w:val="0"/>
                                          <w:divBdr>
                                            <w:top w:val="none" w:sz="0" w:space="0" w:color="auto"/>
                                            <w:left w:val="none" w:sz="0" w:space="0" w:color="auto"/>
                                            <w:bottom w:val="none" w:sz="0" w:space="0" w:color="auto"/>
                                            <w:right w:val="none" w:sz="0" w:space="0" w:color="auto"/>
                                          </w:divBdr>
                                        </w:div>
                                      </w:divsChild>
                                    </w:div>
                                    <w:div w:id="1570454587">
                                      <w:marLeft w:val="0"/>
                                      <w:marRight w:val="0"/>
                                      <w:marTop w:val="0"/>
                                      <w:marBottom w:val="150"/>
                                      <w:divBdr>
                                        <w:top w:val="none" w:sz="0" w:space="0" w:color="auto"/>
                                        <w:left w:val="none" w:sz="0" w:space="0" w:color="auto"/>
                                        <w:bottom w:val="none" w:sz="0" w:space="0" w:color="auto"/>
                                        <w:right w:val="none" w:sz="0" w:space="0" w:color="auto"/>
                                      </w:divBdr>
                                      <w:divsChild>
                                        <w:div w:id="911234590">
                                          <w:marLeft w:val="0"/>
                                          <w:marRight w:val="0"/>
                                          <w:marTop w:val="0"/>
                                          <w:marBottom w:val="0"/>
                                          <w:divBdr>
                                            <w:top w:val="none" w:sz="0" w:space="0" w:color="auto"/>
                                            <w:left w:val="none" w:sz="0" w:space="0" w:color="auto"/>
                                            <w:bottom w:val="none" w:sz="0" w:space="0" w:color="auto"/>
                                            <w:right w:val="none" w:sz="0" w:space="0" w:color="auto"/>
                                          </w:divBdr>
                                          <w:divsChild>
                                            <w:div w:id="1790926853">
                                              <w:marLeft w:val="0"/>
                                              <w:marRight w:val="0"/>
                                              <w:marTop w:val="0"/>
                                              <w:marBottom w:val="0"/>
                                              <w:divBdr>
                                                <w:top w:val="none" w:sz="0" w:space="0" w:color="auto"/>
                                                <w:left w:val="none" w:sz="0" w:space="0" w:color="auto"/>
                                                <w:bottom w:val="none" w:sz="0" w:space="0" w:color="auto"/>
                                                <w:right w:val="none" w:sz="0" w:space="0" w:color="auto"/>
                                              </w:divBdr>
                                            </w:div>
                                            <w:div w:id="11650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4176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 Koller</dc:creator>
  <cp:keywords/>
  <dc:description/>
  <cp:lastModifiedBy>Alfons Koller</cp:lastModifiedBy>
  <cp:revision>2</cp:revision>
  <cp:lastPrinted>2013-02-04T02:04:00Z</cp:lastPrinted>
  <dcterms:created xsi:type="dcterms:W3CDTF">2013-02-08T14:05:00Z</dcterms:created>
  <dcterms:modified xsi:type="dcterms:W3CDTF">2013-02-08T14:05:00Z</dcterms:modified>
</cp:coreProperties>
</file>