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D8" w:rsidRDefault="00BA22D8" w:rsidP="00BA22D8">
      <w:pPr>
        <w:pBdr>
          <w:top w:val="single" w:sz="4" w:space="1" w:color="auto"/>
          <w:left w:val="single" w:sz="4" w:space="4" w:color="auto"/>
          <w:bottom w:val="single" w:sz="4" w:space="1" w:color="auto"/>
          <w:right w:val="single" w:sz="4" w:space="4" w:color="auto"/>
        </w:pBdr>
        <w:spacing w:after="0" w:line="240" w:lineRule="auto"/>
        <w:rPr>
          <w:lang w:val="de-AT"/>
        </w:rPr>
      </w:pPr>
      <w:r>
        <w:rPr>
          <w:lang w:val="de-AT"/>
        </w:rPr>
        <w:t>PH-Linz - Fachbereich Geographie und Wirtschaftskunde</w:t>
      </w:r>
    </w:p>
    <w:p w:rsidR="00BA22D8" w:rsidRDefault="00BA22D8" w:rsidP="00BA22D8">
      <w:pPr>
        <w:pBdr>
          <w:top w:val="single" w:sz="4" w:space="1" w:color="auto"/>
          <w:left w:val="single" w:sz="4" w:space="4" w:color="auto"/>
          <w:bottom w:val="single" w:sz="4" w:space="1" w:color="auto"/>
          <w:right w:val="single" w:sz="4" w:space="4" w:color="auto"/>
        </w:pBdr>
        <w:tabs>
          <w:tab w:val="right" w:pos="8931"/>
        </w:tabs>
        <w:spacing w:after="0" w:line="240" w:lineRule="auto"/>
        <w:rPr>
          <w:lang w:val="de-AT"/>
        </w:rPr>
      </w:pPr>
      <w:r>
        <w:rPr>
          <w:lang w:val="de-AT"/>
        </w:rPr>
        <w:t>Modulprüfung GW6: Demographie Österreichs</w:t>
      </w:r>
      <w:r>
        <w:rPr>
          <w:lang w:val="de-AT"/>
        </w:rPr>
        <w:tab/>
        <w:t>WS 2012/13</w:t>
      </w:r>
    </w:p>
    <w:p w:rsidR="00BA22D8" w:rsidRDefault="00BA22D8">
      <w:pPr>
        <w:rPr>
          <w:lang w:val="de-AT"/>
        </w:rPr>
      </w:pPr>
    </w:p>
    <w:p w:rsidR="00BA22D8" w:rsidRDefault="004B5D15" w:rsidP="00BA22D8">
      <w:pPr>
        <w:jc w:val="right"/>
        <w:rPr>
          <w:b/>
          <w:lang w:val="de-AT"/>
        </w:rPr>
      </w:pPr>
      <w:r>
        <w:rPr>
          <w:b/>
          <w:lang w:val="de-AT"/>
        </w:rPr>
        <w:t>…………………………………….</w:t>
      </w:r>
    </w:p>
    <w:p w:rsidR="00BA22D8" w:rsidRPr="00BA22D8" w:rsidRDefault="00BA22D8" w:rsidP="00BA22D8">
      <w:pPr>
        <w:jc w:val="center"/>
        <w:rPr>
          <w:b/>
          <w:sz w:val="32"/>
          <w:lang w:val="de-AT"/>
        </w:rPr>
      </w:pPr>
      <w:r w:rsidRPr="00BA22D8">
        <w:rPr>
          <w:b/>
          <w:sz w:val="32"/>
          <w:lang w:val="de-AT"/>
        </w:rPr>
        <w:t xml:space="preserve">Altersstruktur der </w:t>
      </w:r>
      <w:r w:rsidR="004B032F">
        <w:rPr>
          <w:b/>
          <w:sz w:val="32"/>
          <w:lang w:val="de-AT"/>
        </w:rPr>
        <w:t xml:space="preserve">österreichischen </w:t>
      </w:r>
      <w:r w:rsidRPr="00BA22D8">
        <w:rPr>
          <w:b/>
          <w:sz w:val="32"/>
          <w:lang w:val="de-AT"/>
        </w:rPr>
        <w:t>Bevölkerung</w:t>
      </w:r>
    </w:p>
    <w:p w:rsidR="00BA22D8" w:rsidRDefault="00BA22D8">
      <w:pPr>
        <w:rPr>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00"/>
      </w:tblGrid>
      <w:tr w:rsidR="004B032F" w:rsidRPr="004B032F" w:rsidTr="004B032F">
        <w:tc>
          <w:tcPr>
            <w:tcW w:w="8188" w:type="dxa"/>
          </w:tcPr>
          <w:p w:rsidR="004B032F" w:rsidRPr="004B032F" w:rsidRDefault="004B032F" w:rsidP="004B5D15">
            <w:pPr>
              <w:pStyle w:val="Listenabsatz"/>
              <w:numPr>
                <w:ilvl w:val="0"/>
                <w:numId w:val="1"/>
              </w:numPr>
              <w:rPr>
                <w:lang w:val="de-AT"/>
              </w:rPr>
            </w:pPr>
            <w:r w:rsidRPr="004B032F">
              <w:rPr>
                <w:lang w:val="de-AT"/>
              </w:rPr>
              <w:t>Beschreiben Sie d</w:t>
            </w:r>
            <w:r w:rsidR="0056604D">
              <w:rPr>
                <w:lang w:val="de-AT"/>
              </w:rPr>
              <w:t xml:space="preserve">ie </w:t>
            </w:r>
            <w:r w:rsidR="004B5D15">
              <w:rPr>
                <w:lang w:val="de-AT"/>
              </w:rPr>
              <w:t>Altersstruktur der österreichischen Bevölkerung</w:t>
            </w:r>
            <w:r w:rsidR="0056604D">
              <w:rPr>
                <w:lang w:val="de-AT"/>
              </w:rPr>
              <w:t xml:space="preserve"> von 2012</w:t>
            </w:r>
            <w:r w:rsidRPr="004B032F">
              <w:rPr>
                <w:lang w:val="de-AT"/>
              </w:rPr>
              <w:t>.</w:t>
            </w:r>
          </w:p>
        </w:tc>
        <w:tc>
          <w:tcPr>
            <w:tcW w:w="1100" w:type="dxa"/>
          </w:tcPr>
          <w:p w:rsidR="004B032F" w:rsidRPr="004B032F" w:rsidRDefault="004B032F" w:rsidP="004B032F">
            <w:pPr>
              <w:rPr>
                <w:sz w:val="18"/>
                <w:lang w:val="de-AT"/>
              </w:rPr>
            </w:pPr>
            <w:r w:rsidRPr="004B032F">
              <w:rPr>
                <w:sz w:val="18"/>
                <w:lang w:val="de-AT"/>
              </w:rPr>
              <w:t>AFB I</w:t>
            </w:r>
          </w:p>
        </w:tc>
      </w:tr>
      <w:tr w:rsidR="0056604D" w:rsidRPr="004B032F" w:rsidTr="004B032F">
        <w:tc>
          <w:tcPr>
            <w:tcW w:w="8188" w:type="dxa"/>
          </w:tcPr>
          <w:p w:rsidR="0056604D" w:rsidRPr="004B032F" w:rsidRDefault="0056604D" w:rsidP="004B5D15">
            <w:pPr>
              <w:pStyle w:val="Listenabsatz"/>
              <w:numPr>
                <w:ilvl w:val="0"/>
                <w:numId w:val="1"/>
              </w:numPr>
              <w:rPr>
                <w:lang w:val="de-AT"/>
              </w:rPr>
            </w:pPr>
            <w:r>
              <w:rPr>
                <w:lang w:val="de-AT"/>
              </w:rPr>
              <w:t xml:space="preserve">Nennen Sie den Typ der </w:t>
            </w:r>
            <w:r w:rsidR="004B5D15">
              <w:rPr>
                <w:lang w:val="de-AT"/>
              </w:rPr>
              <w:t>Bevölkerungsp</w:t>
            </w:r>
            <w:r>
              <w:rPr>
                <w:lang w:val="de-AT"/>
              </w:rPr>
              <w:t>yramide.</w:t>
            </w:r>
          </w:p>
        </w:tc>
        <w:tc>
          <w:tcPr>
            <w:tcW w:w="1100" w:type="dxa"/>
          </w:tcPr>
          <w:p w:rsidR="0056604D" w:rsidRPr="004B032F" w:rsidRDefault="0056604D" w:rsidP="004B032F">
            <w:pPr>
              <w:rPr>
                <w:sz w:val="18"/>
                <w:lang w:val="de-AT"/>
              </w:rPr>
            </w:pPr>
            <w:r w:rsidRPr="004B032F">
              <w:rPr>
                <w:sz w:val="18"/>
                <w:lang w:val="de-AT"/>
              </w:rPr>
              <w:t>AFB I</w:t>
            </w:r>
          </w:p>
        </w:tc>
      </w:tr>
      <w:tr w:rsidR="004B032F" w:rsidRPr="004B032F" w:rsidTr="004B032F">
        <w:tc>
          <w:tcPr>
            <w:tcW w:w="8188" w:type="dxa"/>
          </w:tcPr>
          <w:p w:rsidR="004B032F" w:rsidRPr="004B032F" w:rsidRDefault="004B032F" w:rsidP="004B5D15">
            <w:pPr>
              <w:pStyle w:val="Listenabsatz"/>
              <w:numPr>
                <w:ilvl w:val="0"/>
                <w:numId w:val="1"/>
              </w:numPr>
              <w:rPr>
                <w:lang w:val="de-AT"/>
              </w:rPr>
            </w:pPr>
            <w:r w:rsidRPr="004B032F">
              <w:rPr>
                <w:lang w:val="de-AT"/>
              </w:rPr>
              <w:t>Vergleichen Sie die Altersstruktur der österreichischen Bevölkerung von 20</w:t>
            </w:r>
            <w:r w:rsidR="004B5D15">
              <w:rPr>
                <w:lang w:val="de-AT"/>
              </w:rPr>
              <w:t>42 mit jener von 201</w:t>
            </w:r>
            <w:r w:rsidR="0056604D">
              <w:rPr>
                <w:lang w:val="de-AT"/>
              </w:rPr>
              <w:t>2</w:t>
            </w:r>
            <w:r w:rsidRPr="004B032F">
              <w:rPr>
                <w:lang w:val="de-AT"/>
              </w:rPr>
              <w:t>.</w:t>
            </w:r>
          </w:p>
        </w:tc>
        <w:tc>
          <w:tcPr>
            <w:tcW w:w="1100" w:type="dxa"/>
          </w:tcPr>
          <w:p w:rsidR="004B032F" w:rsidRPr="004B032F" w:rsidRDefault="004B032F" w:rsidP="004B032F">
            <w:pPr>
              <w:rPr>
                <w:sz w:val="18"/>
                <w:lang w:val="de-AT"/>
              </w:rPr>
            </w:pPr>
            <w:r w:rsidRPr="004B032F">
              <w:rPr>
                <w:sz w:val="18"/>
                <w:lang w:val="de-AT"/>
              </w:rPr>
              <w:t>AFB II</w:t>
            </w:r>
          </w:p>
        </w:tc>
      </w:tr>
      <w:tr w:rsidR="004B5D15" w:rsidRPr="004B032F" w:rsidTr="004B032F">
        <w:tc>
          <w:tcPr>
            <w:tcW w:w="8188" w:type="dxa"/>
          </w:tcPr>
          <w:p w:rsidR="004B5D15" w:rsidRPr="004B032F" w:rsidRDefault="004B5D15" w:rsidP="004B5D15">
            <w:pPr>
              <w:pStyle w:val="Listenabsatz"/>
              <w:numPr>
                <w:ilvl w:val="0"/>
                <w:numId w:val="1"/>
              </w:numPr>
              <w:rPr>
                <w:lang w:val="de-AT"/>
              </w:rPr>
            </w:pPr>
            <w:r>
              <w:rPr>
                <w:lang w:val="de-AT"/>
              </w:rPr>
              <w:t>Nennen Sie Herausforderungen, die sich aufgrund dieser Entwicklung ergeben.</w:t>
            </w:r>
          </w:p>
        </w:tc>
        <w:tc>
          <w:tcPr>
            <w:tcW w:w="1100" w:type="dxa"/>
          </w:tcPr>
          <w:p w:rsidR="004B5D15" w:rsidRPr="004B032F" w:rsidRDefault="004B5D15" w:rsidP="004B032F">
            <w:pPr>
              <w:rPr>
                <w:sz w:val="18"/>
                <w:lang w:val="de-AT"/>
              </w:rPr>
            </w:pPr>
            <w:r>
              <w:rPr>
                <w:sz w:val="18"/>
                <w:lang w:val="de-AT"/>
              </w:rPr>
              <w:t>AFB I</w:t>
            </w:r>
          </w:p>
        </w:tc>
      </w:tr>
      <w:tr w:rsidR="004B032F" w:rsidRPr="0056604D" w:rsidTr="004B032F">
        <w:tc>
          <w:tcPr>
            <w:tcW w:w="8188" w:type="dxa"/>
          </w:tcPr>
          <w:p w:rsidR="004B032F" w:rsidRPr="0056604D" w:rsidRDefault="004B5D15" w:rsidP="00237972">
            <w:pPr>
              <w:pStyle w:val="Listenabsatz"/>
              <w:numPr>
                <w:ilvl w:val="0"/>
                <w:numId w:val="1"/>
              </w:numPr>
              <w:rPr>
                <w:lang w:val="de-AT"/>
              </w:rPr>
            </w:pPr>
            <w:r>
              <w:rPr>
                <w:lang w:val="de-AT"/>
              </w:rPr>
              <w:t>Erklären Sie den Unterschied zwischen der Anzahl der 2012-Geborenen und den 30-Jährigen im Jahre 2042.</w:t>
            </w:r>
          </w:p>
        </w:tc>
        <w:tc>
          <w:tcPr>
            <w:tcW w:w="1100" w:type="dxa"/>
          </w:tcPr>
          <w:p w:rsidR="004B032F" w:rsidRPr="0056604D" w:rsidRDefault="0056604D" w:rsidP="004B032F">
            <w:pPr>
              <w:rPr>
                <w:sz w:val="18"/>
                <w:lang w:val="de-AT"/>
              </w:rPr>
            </w:pPr>
            <w:r w:rsidRPr="0056604D">
              <w:rPr>
                <w:sz w:val="18"/>
                <w:lang w:val="de-AT"/>
              </w:rPr>
              <w:t>AFB I</w:t>
            </w:r>
            <w:r w:rsidR="004B5D15">
              <w:rPr>
                <w:sz w:val="18"/>
                <w:lang w:val="de-AT"/>
              </w:rPr>
              <w:t>I</w:t>
            </w:r>
          </w:p>
        </w:tc>
      </w:tr>
      <w:tr w:rsidR="004B032F" w:rsidRPr="004B032F" w:rsidTr="004B032F">
        <w:tc>
          <w:tcPr>
            <w:tcW w:w="8188" w:type="dxa"/>
          </w:tcPr>
          <w:p w:rsidR="004B032F" w:rsidRPr="004B032F" w:rsidRDefault="0056604D" w:rsidP="00887177">
            <w:pPr>
              <w:pStyle w:val="Listenabsatz"/>
              <w:numPr>
                <w:ilvl w:val="0"/>
                <w:numId w:val="1"/>
              </w:numPr>
              <w:rPr>
                <w:lang w:val="de-AT"/>
              </w:rPr>
            </w:pPr>
            <w:r>
              <w:rPr>
                <w:lang w:val="de-AT"/>
              </w:rPr>
              <w:t xml:space="preserve">Nehmen Sie persönlich zum „Diktat der Älteren“ </w:t>
            </w:r>
            <w:r w:rsidRPr="004B032F">
              <w:rPr>
                <w:lang w:val="de-AT"/>
              </w:rPr>
              <w:t>Stellung</w:t>
            </w:r>
            <w:r>
              <w:rPr>
                <w:lang w:val="de-AT"/>
              </w:rPr>
              <w:t>, wie es in Abb. 4 angesprochen ist.</w:t>
            </w:r>
          </w:p>
        </w:tc>
        <w:tc>
          <w:tcPr>
            <w:tcW w:w="1100" w:type="dxa"/>
          </w:tcPr>
          <w:p w:rsidR="004B032F" w:rsidRPr="004B032F" w:rsidRDefault="004B032F" w:rsidP="004B032F">
            <w:pPr>
              <w:rPr>
                <w:sz w:val="18"/>
                <w:lang w:val="de-AT"/>
              </w:rPr>
            </w:pPr>
            <w:r w:rsidRPr="004B032F">
              <w:rPr>
                <w:sz w:val="18"/>
                <w:lang w:val="de-AT"/>
              </w:rPr>
              <w:t>AFB I</w:t>
            </w:r>
            <w:r>
              <w:rPr>
                <w:sz w:val="18"/>
                <w:lang w:val="de-AT"/>
              </w:rPr>
              <w:t>II</w:t>
            </w:r>
          </w:p>
        </w:tc>
      </w:tr>
    </w:tbl>
    <w:p w:rsidR="004B032F" w:rsidRDefault="004B032F" w:rsidP="004B032F">
      <w:pPr>
        <w:rPr>
          <w:lang w:val="de-AT"/>
        </w:rPr>
      </w:pPr>
    </w:p>
    <w:p w:rsidR="0056604D" w:rsidRDefault="0056604D" w:rsidP="004B032F">
      <w:pPr>
        <w:rPr>
          <w:lang w:val="de-AT"/>
        </w:rPr>
      </w:pPr>
      <w:r>
        <w:rPr>
          <w:rFonts w:ascii="Verdana" w:hAnsi="Verdana"/>
          <w:b/>
          <w:bCs/>
          <w:noProof/>
          <w:color w:val="00468E"/>
          <w:sz w:val="14"/>
          <w:szCs w:val="14"/>
          <w:lang w:val="de-AT" w:eastAsia="de-AT"/>
        </w:rPr>
        <w:drawing>
          <wp:inline distT="0" distB="0" distL="0" distR="0" wp14:anchorId="61D75447" wp14:editId="1CC91139">
            <wp:extent cx="5760720" cy="2183765"/>
            <wp:effectExtent l="0" t="0" r="0" b="6985"/>
            <wp:docPr id="4" name="lightboxImage" descr="http://diepresse.com/images/uploads/5/9/0/1336720/generationenstreit_konflikt_bestimmt_jung_launchy-view-135904784232320130124183319.jpg">
              <a:hlinkClick xmlns:a="http://schemas.openxmlformats.org/drawingml/2006/main" r:id="rId6" tooltip="&quot;Zum Schließen klick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diepresse.com/images/uploads/5/9/0/1336720/generationenstreit_konflikt_bestimmt_jung_launchy-view-135904784232320130124183319.jpg">
                      <a:hlinkClick r:id="rId6" tooltip="&quot;Zum Schließen klicken&quot;"/>
                    </pic:cNvPr>
                    <pic:cNvPicPr>
                      <a:picLocks noChangeAspect="1" noChangeArrowheads="1"/>
                    </pic:cNvPicPr>
                  </pic:nvPicPr>
                  <pic:blipFill>
                    <a:blip r:embed="rId7" cstate="print"/>
                    <a:srcRect/>
                    <a:stretch>
                      <a:fillRect/>
                    </a:stretch>
                  </pic:blipFill>
                  <pic:spPr bwMode="auto">
                    <a:xfrm>
                      <a:off x="0" y="0"/>
                      <a:ext cx="5760720" cy="2183765"/>
                    </a:xfrm>
                    <a:prstGeom prst="rect">
                      <a:avLst/>
                    </a:prstGeom>
                    <a:noFill/>
                    <a:ln w="9525">
                      <a:noFill/>
                      <a:miter lim="800000"/>
                      <a:headEnd/>
                      <a:tailEnd/>
                    </a:ln>
                  </pic:spPr>
                </pic:pic>
              </a:graphicData>
            </a:graphic>
          </wp:inline>
        </w:drawing>
      </w:r>
    </w:p>
    <w:p w:rsidR="00237972" w:rsidRDefault="0056604D" w:rsidP="004B032F">
      <w:pPr>
        <w:rPr>
          <w:rFonts w:ascii="TTE2572AE8t00" w:hAnsi="TTE2572AE8t00" w:cs="TTE2572AE8t00"/>
          <w:i/>
          <w:sz w:val="19"/>
          <w:szCs w:val="19"/>
          <w:lang w:val="de-AT"/>
        </w:rPr>
      </w:pPr>
      <w:r>
        <w:rPr>
          <w:lang w:val="de-AT"/>
        </w:rPr>
        <w:t>Abb. 1,2,3: Altersstruktur</w:t>
      </w:r>
      <w:r w:rsidR="004B5D15">
        <w:rPr>
          <w:lang w:val="de-AT"/>
        </w:rPr>
        <w:t>en</w:t>
      </w:r>
      <w:r>
        <w:rPr>
          <w:lang w:val="de-AT"/>
        </w:rPr>
        <w:t xml:space="preserve"> Österreichs 1982, 2012, 2042</w:t>
      </w:r>
      <w:r w:rsidR="00533F0C">
        <w:rPr>
          <w:lang w:val="de-AT"/>
        </w:rPr>
        <w:br/>
      </w:r>
      <w:r w:rsidR="00533F0C" w:rsidRPr="004B032F">
        <w:rPr>
          <w:rFonts w:ascii="TTE2572AE8t00" w:hAnsi="TTE2572AE8t00" w:cs="TTE2572AE8t00"/>
          <w:i/>
          <w:sz w:val="19"/>
          <w:szCs w:val="19"/>
          <w:lang w:val="de-AT"/>
        </w:rPr>
        <w:t>In: Die Presse 2</w:t>
      </w:r>
      <w:r w:rsidR="00533F0C">
        <w:rPr>
          <w:rFonts w:ascii="TTE2572AE8t00" w:hAnsi="TTE2572AE8t00" w:cs="TTE2572AE8t00"/>
          <w:i/>
          <w:sz w:val="19"/>
          <w:szCs w:val="19"/>
          <w:lang w:val="de-AT"/>
        </w:rPr>
        <w:t>4</w:t>
      </w:r>
      <w:r w:rsidR="00533F0C" w:rsidRPr="004B032F">
        <w:rPr>
          <w:rFonts w:ascii="TTE2572AE8t00" w:hAnsi="TTE2572AE8t00" w:cs="TTE2572AE8t00"/>
          <w:i/>
          <w:sz w:val="19"/>
          <w:szCs w:val="19"/>
          <w:lang w:val="de-AT"/>
        </w:rPr>
        <w:t>.1.201</w:t>
      </w:r>
      <w:r w:rsidR="00533F0C">
        <w:rPr>
          <w:rFonts w:ascii="TTE2572AE8t00" w:hAnsi="TTE2572AE8t00" w:cs="TTE2572AE8t00"/>
          <w:i/>
          <w:sz w:val="19"/>
          <w:szCs w:val="19"/>
          <w:lang w:val="de-AT"/>
        </w:rPr>
        <w:t xml:space="preserve">3. Web: </w:t>
      </w:r>
      <w:r w:rsidR="00533F0C" w:rsidRPr="004B5D15">
        <w:rPr>
          <w:rFonts w:ascii="TTE2572AE8t00" w:hAnsi="TTE2572AE8t00" w:cs="TTE2572AE8t00"/>
          <w:i/>
          <w:sz w:val="19"/>
          <w:szCs w:val="19"/>
          <w:lang w:val="de-AT"/>
        </w:rPr>
        <w:t>http://diepresse.com/home/politik/innenpolitik/1336720/Konflikt-Alt-bestimmt-Jung-akzeptiert?from=suche.intern.portal</w:t>
      </w:r>
      <w:r w:rsidR="00533F0C">
        <w:rPr>
          <w:rFonts w:ascii="TTE2572AE8t00" w:hAnsi="TTE2572AE8t00" w:cs="TTE2572AE8t00"/>
          <w:i/>
          <w:sz w:val="19"/>
          <w:szCs w:val="19"/>
          <w:lang w:val="de-AT"/>
        </w:rPr>
        <w:t xml:space="preserve"> (6.2.2013</w:t>
      </w:r>
    </w:p>
    <w:p w:rsidR="00533F0C" w:rsidRPr="004B032F" w:rsidRDefault="00533F0C" w:rsidP="004B032F">
      <w:pPr>
        <w:rPr>
          <w:lang w:val="de-AT"/>
        </w:rPr>
      </w:pPr>
      <w:bookmarkStart w:id="0" w:name="_GoBack"/>
      <w:bookmarkEnd w:id="0"/>
    </w:p>
    <w:p w:rsidR="0056604D" w:rsidRPr="0056604D" w:rsidRDefault="004B032F" w:rsidP="005660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b/>
          <w:bCs/>
          <w:lang w:val="de-AT"/>
        </w:rPr>
      </w:pPr>
      <w:r w:rsidRPr="004B032F">
        <w:rPr>
          <w:lang w:val="de-AT"/>
        </w:rPr>
        <w:t xml:space="preserve">Abb. </w:t>
      </w:r>
      <w:r w:rsidR="00237972">
        <w:rPr>
          <w:lang w:val="de-AT"/>
        </w:rPr>
        <w:t>4</w:t>
      </w:r>
      <w:r w:rsidRPr="004B032F">
        <w:rPr>
          <w:lang w:val="de-AT"/>
        </w:rPr>
        <w:t>:</w:t>
      </w:r>
      <w:r>
        <w:rPr>
          <w:lang w:val="de-AT"/>
        </w:rPr>
        <w:t xml:space="preserve"> </w:t>
      </w:r>
      <w:r w:rsidR="0056604D" w:rsidRPr="0056604D">
        <w:rPr>
          <w:b/>
          <w:bCs/>
          <w:lang w:val="de-AT"/>
        </w:rPr>
        <w:t>Generationenstreit: Konflikt? Alt bestimmt, Jung akzeptiert</w:t>
      </w:r>
    </w:p>
    <w:p w:rsidR="0056604D" w:rsidRPr="00945F43" w:rsidRDefault="0056604D" w:rsidP="004B032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b/>
          <w:lang w:val="de-AT"/>
        </w:rPr>
      </w:pPr>
    </w:p>
    <w:p w:rsidR="004B032F" w:rsidRDefault="0056604D" w:rsidP="004B032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ascii="Verdana" w:eastAsia="Times New Roman" w:hAnsi="Verdana"/>
          <w:spacing w:val="2"/>
          <w:sz w:val="16"/>
          <w:szCs w:val="16"/>
          <w:lang w:val="de-AT" w:eastAsia="de-AT"/>
        </w:rPr>
      </w:pPr>
      <w:r w:rsidRPr="009A5FA2">
        <w:rPr>
          <w:rFonts w:ascii="Verdana" w:eastAsia="Times New Roman" w:hAnsi="Verdana"/>
          <w:spacing w:val="2"/>
          <w:sz w:val="16"/>
          <w:szCs w:val="16"/>
          <w:lang w:val="de-AT" w:eastAsia="de-AT"/>
        </w:rPr>
        <w:t>Haben die Älteren den Jüngeren bei der Wehrpflichtvolksbefragung „sechs Monate gestohlen“? Und haben die Jungen in einer alternden Demokratie allein aus num</w:t>
      </w:r>
      <w:r w:rsidR="004B5D15">
        <w:rPr>
          <w:rFonts w:ascii="Verdana" w:eastAsia="Times New Roman" w:hAnsi="Verdana"/>
          <w:spacing w:val="2"/>
          <w:sz w:val="16"/>
          <w:szCs w:val="16"/>
          <w:lang w:val="de-AT" w:eastAsia="de-AT"/>
        </w:rPr>
        <w:t>m</w:t>
      </w:r>
      <w:r w:rsidRPr="009A5FA2">
        <w:rPr>
          <w:rFonts w:ascii="Verdana" w:eastAsia="Times New Roman" w:hAnsi="Verdana"/>
          <w:spacing w:val="2"/>
          <w:sz w:val="16"/>
          <w:szCs w:val="16"/>
          <w:lang w:val="de-AT" w:eastAsia="de-AT"/>
        </w:rPr>
        <w:t>erischer Sicht einfach keine Chance mehr? Diese beiden Fragen sorgen seit dem vergangenen Wochenende für hitzige Diskussionen. Denn die Pensionisten scheinen die Jungen überstimmt zu haben. Mehr als 70 Prozent der über 60-Jährigen votierten für die Beibehaltung der Wehrpflicht und damit für die Verpflichtung junger Männer zum Zivil- oder Präsenzdienst. Die Jungen selbst zeigten sich reformfreudiger. Ob sie aber tatsächlich mehrheitlich für ein Berufsheer waren, darüber sind selbst die Meinungsforscher uneinig. Immerhin lag die Schwankungsbreite bei den Umfragen, die das Wahlverhalten der Jüngeren untersuchten, bei knapp zehn Prozent. Die Kluft zwischen Jüngeren und Älteren dürfte also kleiner sein als vermutet. Ist das Diktat der Älteren also nur ein Mythos?</w:t>
      </w:r>
    </w:p>
    <w:p w:rsidR="0056604D" w:rsidRDefault="0056604D" w:rsidP="004B032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ascii="TTE2572AE8t00" w:hAnsi="TTE2572AE8t00" w:cs="TTE2572AE8t00"/>
          <w:sz w:val="19"/>
          <w:szCs w:val="19"/>
          <w:lang w:val="de-AT"/>
        </w:rPr>
      </w:pPr>
    </w:p>
    <w:p w:rsidR="004B032F" w:rsidRPr="004B032F" w:rsidRDefault="004B032F" w:rsidP="004B032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ascii="TTE2572AE8t00" w:hAnsi="TTE2572AE8t00" w:cs="TTE2572AE8t00"/>
          <w:i/>
          <w:sz w:val="19"/>
          <w:szCs w:val="19"/>
          <w:lang w:val="de-AT"/>
        </w:rPr>
      </w:pPr>
      <w:r w:rsidRPr="004B032F">
        <w:rPr>
          <w:rFonts w:ascii="TTE2572AE8t00" w:hAnsi="TTE2572AE8t00" w:cs="TTE2572AE8t00"/>
          <w:i/>
          <w:sz w:val="19"/>
          <w:szCs w:val="19"/>
          <w:lang w:val="de-AT"/>
        </w:rPr>
        <w:t>In: Die Presse 2</w:t>
      </w:r>
      <w:r w:rsidR="0056604D">
        <w:rPr>
          <w:rFonts w:ascii="TTE2572AE8t00" w:hAnsi="TTE2572AE8t00" w:cs="TTE2572AE8t00"/>
          <w:i/>
          <w:sz w:val="19"/>
          <w:szCs w:val="19"/>
          <w:lang w:val="de-AT"/>
        </w:rPr>
        <w:t>4</w:t>
      </w:r>
      <w:r w:rsidRPr="004B032F">
        <w:rPr>
          <w:rFonts w:ascii="TTE2572AE8t00" w:hAnsi="TTE2572AE8t00" w:cs="TTE2572AE8t00"/>
          <w:i/>
          <w:sz w:val="19"/>
          <w:szCs w:val="19"/>
          <w:lang w:val="de-AT"/>
        </w:rPr>
        <w:t>.1.201</w:t>
      </w:r>
      <w:r w:rsidR="00972407">
        <w:rPr>
          <w:rFonts w:ascii="TTE2572AE8t00" w:hAnsi="TTE2572AE8t00" w:cs="TTE2572AE8t00"/>
          <w:i/>
          <w:sz w:val="19"/>
          <w:szCs w:val="19"/>
          <w:lang w:val="de-AT"/>
        </w:rPr>
        <w:t>3</w:t>
      </w:r>
      <w:r w:rsidR="004B5D15">
        <w:rPr>
          <w:rFonts w:ascii="TTE2572AE8t00" w:hAnsi="TTE2572AE8t00" w:cs="TTE2572AE8t00"/>
          <w:i/>
          <w:sz w:val="19"/>
          <w:szCs w:val="19"/>
          <w:lang w:val="de-AT"/>
        </w:rPr>
        <w:t xml:space="preserve">. Web: </w:t>
      </w:r>
      <w:r w:rsidR="004B5D15" w:rsidRPr="004B5D15">
        <w:rPr>
          <w:rFonts w:ascii="TTE2572AE8t00" w:hAnsi="TTE2572AE8t00" w:cs="TTE2572AE8t00"/>
          <w:i/>
          <w:sz w:val="19"/>
          <w:szCs w:val="19"/>
          <w:lang w:val="de-AT"/>
        </w:rPr>
        <w:t>http://diepresse.com/home/politik/innenpolitik/1336720/Konflikt-Alt-bestimmt-Jung-akzeptiert?from=suche.intern.portal</w:t>
      </w:r>
      <w:r w:rsidR="004B5D15">
        <w:rPr>
          <w:rFonts w:ascii="TTE2572AE8t00" w:hAnsi="TTE2572AE8t00" w:cs="TTE2572AE8t00"/>
          <w:i/>
          <w:sz w:val="19"/>
          <w:szCs w:val="19"/>
          <w:lang w:val="de-AT"/>
        </w:rPr>
        <w:t xml:space="preserve"> (6.2.2013)</w:t>
      </w:r>
    </w:p>
    <w:sectPr w:rsidR="004B032F" w:rsidRPr="004B032F" w:rsidSect="004B032F">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TE2572AE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90BFF"/>
    <w:multiLevelType w:val="hybridMultilevel"/>
    <w:tmpl w:val="DA348AE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D8"/>
    <w:rsid w:val="001D013A"/>
    <w:rsid w:val="00237972"/>
    <w:rsid w:val="004B032F"/>
    <w:rsid w:val="004B5D15"/>
    <w:rsid w:val="00533F0C"/>
    <w:rsid w:val="0056604D"/>
    <w:rsid w:val="008659E5"/>
    <w:rsid w:val="00945F43"/>
    <w:rsid w:val="00972407"/>
    <w:rsid w:val="00B611BD"/>
    <w:rsid w:val="00BA2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22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22D8"/>
    <w:rPr>
      <w:rFonts w:ascii="Tahoma" w:hAnsi="Tahoma" w:cs="Tahoma"/>
      <w:sz w:val="16"/>
      <w:szCs w:val="16"/>
    </w:rPr>
  </w:style>
  <w:style w:type="table" w:styleId="Tabellenraster">
    <w:name w:val="Table Grid"/>
    <w:basedOn w:val="NormaleTabelle"/>
    <w:uiPriority w:val="59"/>
    <w:rsid w:val="00BA2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A2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22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22D8"/>
    <w:rPr>
      <w:rFonts w:ascii="Tahoma" w:hAnsi="Tahoma" w:cs="Tahoma"/>
      <w:sz w:val="16"/>
      <w:szCs w:val="16"/>
    </w:rPr>
  </w:style>
  <w:style w:type="table" w:styleId="Tabellenraster">
    <w:name w:val="Table Grid"/>
    <w:basedOn w:val="NormaleTabelle"/>
    <w:uiPriority w:val="59"/>
    <w:rsid w:val="00BA2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A2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epresse.com/home/politik/innenpolitik/1336720/Konflikt-Alt-bestimmt-Jung-akzeptie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 Koller</dc:creator>
  <cp:keywords/>
  <dc:description/>
  <cp:lastModifiedBy>Alfons Koller</cp:lastModifiedBy>
  <cp:revision>2</cp:revision>
  <cp:lastPrinted>2013-01-23T05:39:00Z</cp:lastPrinted>
  <dcterms:created xsi:type="dcterms:W3CDTF">2013-02-08T14:17:00Z</dcterms:created>
  <dcterms:modified xsi:type="dcterms:W3CDTF">2013-02-08T14:17:00Z</dcterms:modified>
</cp:coreProperties>
</file>