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5E" w:rsidRPr="00FC6C86" w:rsidRDefault="0001115E" w:rsidP="00264E77">
      <w:pPr>
        <w:rPr>
          <w:rFonts w:asciiTheme="minorHAnsi" w:hAnsiTheme="minorHAnsi"/>
          <w:b/>
          <w:sz w:val="28"/>
          <w:szCs w:val="28"/>
          <w:lang w:val="de-DE"/>
        </w:rPr>
      </w:pPr>
      <w:r w:rsidRPr="00FC6C86">
        <w:rPr>
          <w:rFonts w:asciiTheme="minorHAnsi" w:hAnsiTheme="minorHAnsi"/>
          <w:b/>
          <w:sz w:val="28"/>
          <w:szCs w:val="28"/>
          <w:lang w:val="de-DE"/>
        </w:rPr>
        <w:t>Ausgewählte Methoden der Aktionsforschung</w:t>
      </w:r>
      <w:r w:rsidR="00FC6C86">
        <w:rPr>
          <w:rFonts w:asciiTheme="minorHAnsi" w:hAnsiTheme="minorHAnsi"/>
          <w:b/>
          <w:sz w:val="28"/>
          <w:szCs w:val="28"/>
          <w:lang w:val="de-DE"/>
        </w:rPr>
        <w:t xml:space="preserve">: </w:t>
      </w:r>
      <w:r w:rsidRPr="00FC6C86">
        <w:rPr>
          <w:rFonts w:asciiTheme="minorHAnsi" w:hAnsiTheme="minorHAnsi"/>
          <w:b/>
          <w:sz w:val="28"/>
          <w:szCs w:val="28"/>
          <w:lang w:val="de-DE"/>
        </w:rPr>
        <w:t>Das Analysegespräch</w:t>
      </w:r>
    </w:p>
    <w:p w:rsidR="0001115E" w:rsidRPr="00FC6C86" w:rsidRDefault="0001115E" w:rsidP="0001115E">
      <w:pPr>
        <w:rPr>
          <w:rFonts w:asciiTheme="minorHAnsi" w:hAnsiTheme="minorHAnsi"/>
          <w:b/>
          <w:lang w:val="de-DE"/>
        </w:rPr>
      </w:pPr>
    </w:p>
    <w:p w:rsidR="0001115E" w:rsidRPr="00FC6C86" w:rsidRDefault="0001115E" w:rsidP="0001115E">
      <w:pPr>
        <w:rPr>
          <w:rFonts w:asciiTheme="minorHAnsi" w:hAnsiTheme="minorHAnsi"/>
          <w:lang w:val="de-DE"/>
        </w:rPr>
      </w:pPr>
      <w:r w:rsidRPr="00FC6C86">
        <w:rPr>
          <w:rFonts w:asciiTheme="minorHAnsi" w:hAnsiTheme="minorHAnsi"/>
          <w:lang w:val="de-DE"/>
        </w:rPr>
        <w:t>Das Analysegespräch dient in unserem Fall dem Finden einer geeigneten Ausgangssituation für das Projekt und/oder den Bericht. In anderen Zusammenhängen bietet es aber auch eine ideale Struktur, um z.B. einem Problem auf den Grund zu gehen oder sich in kollegialer Beratung z.B. in einem LehrerInnen</w:t>
      </w:r>
      <w:r w:rsidR="00264E77" w:rsidRPr="00FC6C86">
        <w:rPr>
          <w:rFonts w:asciiTheme="minorHAnsi" w:hAnsiTheme="minorHAnsi"/>
          <w:lang w:val="de-DE"/>
        </w:rPr>
        <w:t>-T</w:t>
      </w:r>
      <w:r w:rsidRPr="00FC6C86">
        <w:rPr>
          <w:rFonts w:asciiTheme="minorHAnsi" w:hAnsiTheme="minorHAnsi"/>
          <w:lang w:val="de-DE"/>
        </w:rPr>
        <w:t>eam Hilfestellung zu geben.</w:t>
      </w:r>
    </w:p>
    <w:p w:rsidR="0001115E" w:rsidRPr="00FC6C86" w:rsidRDefault="0001115E" w:rsidP="0001115E">
      <w:pPr>
        <w:rPr>
          <w:rFonts w:asciiTheme="minorHAnsi" w:hAnsiTheme="minorHAnsi"/>
          <w:lang w:val="de-DE"/>
        </w:rPr>
      </w:pPr>
    </w:p>
    <w:p w:rsidR="0001115E" w:rsidRPr="00FC6C86" w:rsidRDefault="0001115E" w:rsidP="0001115E">
      <w:pPr>
        <w:rPr>
          <w:rFonts w:asciiTheme="minorHAnsi" w:hAnsiTheme="minorHAnsi"/>
          <w:lang w:val="de-DE"/>
        </w:rPr>
      </w:pPr>
      <w:r w:rsidRPr="00FC6C86">
        <w:rPr>
          <w:rFonts w:asciiTheme="minorHAnsi" w:hAnsiTheme="minorHAnsi"/>
          <w:lang w:val="de-DE"/>
        </w:rPr>
        <w:t>Gespräch in einer Dreiergruppe (Triangulation):</w:t>
      </w:r>
    </w:p>
    <w:p w:rsidR="0001115E" w:rsidRPr="00FC6C86" w:rsidRDefault="0001115E" w:rsidP="0001115E">
      <w:pPr>
        <w:rPr>
          <w:rFonts w:asciiTheme="minorHAnsi" w:hAnsiTheme="minorHAnsi"/>
          <w:lang w:val="de-DE"/>
        </w:rPr>
      </w:pPr>
    </w:p>
    <w:p w:rsidR="0001115E" w:rsidRPr="00FC6C86" w:rsidRDefault="0001115E" w:rsidP="0001115E">
      <w:pPr>
        <w:ind w:left="1410" w:hanging="1410"/>
        <w:rPr>
          <w:rFonts w:asciiTheme="minorHAnsi" w:hAnsiTheme="minorHAnsi"/>
          <w:lang w:val="de-DE"/>
        </w:rPr>
      </w:pPr>
      <w:r w:rsidRPr="00FC6C86">
        <w:rPr>
          <w:rFonts w:asciiTheme="minorHAnsi" w:hAnsiTheme="minorHAnsi"/>
          <w:lang w:val="de-DE"/>
        </w:rPr>
        <w:t xml:space="preserve">L1  </w:t>
      </w:r>
      <w:r w:rsidRPr="00FC6C86">
        <w:rPr>
          <w:rFonts w:asciiTheme="minorHAnsi" w:hAnsiTheme="minorHAnsi"/>
          <w:lang w:val="de-DE"/>
        </w:rPr>
        <w:tab/>
      </w:r>
      <w:r w:rsidRPr="00FC6C86">
        <w:rPr>
          <w:rFonts w:asciiTheme="minorHAnsi" w:hAnsiTheme="minorHAnsi"/>
          <w:lang w:val="de-DE"/>
        </w:rPr>
        <w:tab/>
        <w:t>schildert ihr/sein Vorhaben (Problem, Situation etc.) den beiden Zuhörenden möglichst genau.</w:t>
      </w:r>
    </w:p>
    <w:p w:rsidR="0001115E" w:rsidRPr="00FC6C86" w:rsidRDefault="0001115E" w:rsidP="0001115E">
      <w:pPr>
        <w:rPr>
          <w:rFonts w:asciiTheme="minorHAnsi" w:hAnsiTheme="minorHAnsi"/>
          <w:lang w:val="de-DE"/>
        </w:rPr>
      </w:pPr>
      <w:r w:rsidRPr="00FC6C86">
        <w:rPr>
          <w:rFonts w:asciiTheme="minorHAnsi" w:hAnsiTheme="minorHAnsi"/>
          <w:lang w:val="de-DE"/>
        </w:rPr>
        <w:t xml:space="preserve">L2 + L3 </w:t>
      </w:r>
      <w:r w:rsidRPr="00FC6C86">
        <w:rPr>
          <w:rFonts w:asciiTheme="minorHAnsi" w:hAnsiTheme="minorHAnsi"/>
          <w:lang w:val="de-DE"/>
        </w:rPr>
        <w:tab/>
        <w:t>hören aufmerksam zu.</w:t>
      </w:r>
    </w:p>
    <w:p w:rsidR="0001115E" w:rsidRPr="00FC6C86" w:rsidRDefault="0001115E" w:rsidP="0001115E">
      <w:pPr>
        <w:rPr>
          <w:rFonts w:asciiTheme="minorHAnsi" w:hAnsiTheme="minorHAnsi"/>
          <w:lang w:val="de-DE"/>
        </w:rPr>
      </w:pPr>
      <w:r w:rsidRPr="00FC6C86">
        <w:rPr>
          <w:rFonts w:asciiTheme="minorHAnsi" w:hAnsiTheme="minorHAnsi"/>
          <w:lang w:val="de-DE"/>
        </w:rPr>
        <w:t xml:space="preserve">L2 +  L3 </w:t>
      </w:r>
      <w:r w:rsidRPr="00FC6C86">
        <w:rPr>
          <w:rFonts w:asciiTheme="minorHAnsi" w:hAnsiTheme="minorHAnsi"/>
          <w:lang w:val="de-DE"/>
        </w:rPr>
        <w:tab/>
        <w:t>versuchen, sich durch Fragen ein möglichst genaues Bild zu verschaffen.</w:t>
      </w:r>
    </w:p>
    <w:p w:rsidR="0001115E" w:rsidRPr="00FC6C86" w:rsidRDefault="0001115E" w:rsidP="0001115E">
      <w:pPr>
        <w:rPr>
          <w:rFonts w:asciiTheme="minorHAnsi" w:hAnsiTheme="minorHAnsi"/>
          <w:lang w:val="de-DE"/>
        </w:rPr>
      </w:pPr>
    </w:p>
    <w:p w:rsidR="0001115E" w:rsidRPr="00FC6C86" w:rsidRDefault="0001115E" w:rsidP="0001115E">
      <w:pPr>
        <w:rPr>
          <w:rFonts w:asciiTheme="minorHAnsi" w:hAnsiTheme="minorHAnsi"/>
          <w:lang w:val="de-DE"/>
        </w:rPr>
      </w:pPr>
      <w:r w:rsidRPr="00FC6C86">
        <w:rPr>
          <w:rFonts w:asciiTheme="minorHAnsi" w:hAnsiTheme="minorHAnsi"/>
          <w:lang w:val="de-DE"/>
        </w:rPr>
        <w:t>Es ist dabei wichtig, einigen einfachen Regeln zu folgen (ALTRICHTER/POSCH 1990, S. 70):</w:t>
      </w:r>
    </w:p>
    <w:p w:rsidR="0001115E" w:rsidRPr="00FC6C86" w:rsidRDefault="0001115E" w:rsidP="0001115E">
      <w:pPr>
        <w:numPr>
          <w:ilvl w:val="0"/>
          <w:numId w:val="1"/>
        </w:numPr>
        <w:rPr>
          <w:rFonts w:asciiTheme="minorHAnsi" w:hAnsiTheme="minorHAnsi"/>
          <w:lang w:val="de-DE"/>
        </w:rPr>
      </w:pPr>
      <w:r w:rsidRPr="00FC6C86">
        <w:rPr>
          <w:rFonts w:asciiTheme="minorHAnsi" w:hAnsiTheme="minorHAnsi"/>
          <w:lang w:val="de-DE"/>
        </w:rPr>
        <w:t xml:space="preserve">Es sollen </w:t>
      </w:r>
      <w:r w:rsidRPr="00FC6C86">
        <w:rPr>
          <w:rFonts w:asciiTheme="minorHAnsi" w:hAnsiTheme="minorHAnsi"/>
          <w:i/>
          <w:lang w:val="de-DE"/>
        </w:rPr>
        <w:t>nur Fragen</w:t>
      </w:r>
      <w:r w:rsidRPr="00FC6C86">
        <w:rPr>
          <w:rFonts w:asciiTheme="minorHAnsi" w:hAnsiTheme="minorHAnsi"/>
          <w:lang w:val="de-DE"/>
        </w:rPr>
        <w:t xml:space="preserve"> gestellt werden. Äußerungen über ähnliche Erfahrungen sollten </w:t>
      </w:r>
    </w:p>
    <w:p w:rsidR="0001115E" w:rsidRPr="00FC6C86" w:rsidRDefault="0001115E" w:rsidP="0001115E">
      <w:pPr>
        <w:ind w:left="708"/>
        <w:rPr>
          <w:rFonts w:asciiTheme="minorHAnsi" w:hAnsiTheme="minorHAnsi"/>
          <w:lang w:val="de-DE"/>
        </w:rPr>
      </w:pPr>
      <w:r w:rsidRPr="00FC6C86">
        <w:rPr>
          <w:rFonts w:asciiTheme="minorHAnsi" w:hAnsiTheme="minorHAnsi"/>
          <w:lang w:val="de-DE"/>
        </w:rPr>
        <w:t>verm</w:t>
      </w:r>
      <w:r w:rsidR="00264E77" w:rsidRPr="00FC6C86">
        <w:rPr>
          <w:rFonts w:asciiTheme="minorHAnsi" w:hAnsiTheme="minorHAnsi"/>
          <w:lang w:val="de-DE"/>
        </w:rPr>
        <w:t>i</w:t>
      </w:r>
      <w:r w:rsidRPr="00FC6C86">
        <w:rPr>
          <w:rFonts w:asciiTheme="minorHAnsi" w:hAnsiTheme="minorHAnsi"/>
          <w:lang w:val="de-DE"/>
        </w:rPr>
        <w:t>eden werden. Mit dieser Regel soll eine Konzentration auf die Situation der Berichtenden erreicht werden</w:t>
      </w:r>
    </w:p>
    <w:p w:rsidR="0001115E" w:rsidRPr="00FC6C86" w:rsidRDefault="0001115E" w:rsidP="0001115E">
      <w:pPr>
        <w:numPr>
          <w:ilvl w:val="0"/>
          <w:numId w:val="1"/>
        </w:numPr>
        <w:rPr>
          <w:rFonts w:asciiTheme="minorHAnsi" w:hAnsiTheme="minorHAnsi"/>
          <w:lang w:val="de-DE"/>
        </w:rPr>
      </w:pPr>
      <w:r w:rsidRPr="00FC6C86">
        <w:rPr>
          <w:rFonts w:asciiTheme="minorHAnsi" w:hAnsiTheme="minorHAnsi"/>
          <w:i/>
          <w:lang w:val="de-DE"/>
        </w:rPr>
        <w:t>Kritische Äußerungen</w:t>
      </w:r>
      <w:r w:rsidRPr="00FC6C86">
        <w:rPr>
          <w:rFonts w:asciiTheme="minorHAnsi" w:hAnsiTheme="minorHAnsi"/>
          <w:lang w:val="de-DE"/>
        </w:rPr>
        <w:t xml:space="preserve"> (auch in Fragen verkleidete) sollen </w:t>
      </w:r>
      <w:r w:rsidRPr="00FC6C86">
        <w:rPr>
          <w:rFonts w:asciiTheme="minorHAnsi" w:hAnsiTheme="minorHAnsi"/>
          <w:i/>
          <w:lang w:val="de-DE"/>
        </w:rPr>
        <w:t>nicht zugelassen</w:t>
      </w:r>
      <w:r w:rsidRPr="00FC6C86">
        <w:rPr>
          <w:rFonts w:asciiTheme="minorHAnsi" w:hAnsiTheme="minorHAnsi"/>
          <w:lang w:val="de-DE"/>
        </w:rPr>
        <w:t xml:space="preserve"> werden. Diese Regel ist vor allem am Beginn eines Gesprächs wichtig. (…)</w:t>
      </w:r>
    </w:p>
    <w:p w:rsidR="0001115E" w:rsidRPr="00FC6C86" w:rsidRDefault="0001115E" w:rsidP="0001115E">
      <w:pPr>
        <w:numPr>
          <w:ilvl w:val="0"/>
          <w:numId w:val="1"/>
        </w:numPr>
        <w:rPr>
          <w:rFonts w:asciiTheme="minorHAnsi" w:hAnsiTheme="minorHAnsi"/>
          <w:lang w:val="de-DE"/>
        </w:rPr>
      </w:pPr>
      <w:r w:rsidRPr="00FC6C86">
        <w:rPr>
          <w:rFonts w:asciiTheme="minorHAnsi" w:hAnsiTheme="minorHAnsi"/>
          <w:i/>
          <w:lang w:val="de-DE"/>
        </w:rPr>
        <w:t>Lösungsvorschläge sind nicht erlaubt</w:t>
      </w:r>
      <w:r w:rsidRPr="00FC6C86">
        <w:rPr>
          <w:rFonts w:asciiTheme="minorHAnsi" w:hAnsiTheme="minorHAnsi"/>
          <w:lang w:val="de-DE"/>
        </w:rPr>
        <w:t>. Diese Regel soll sicherstellen, dass die Suche nach einem tiefer gehenden Verständnis (…) nicht durch die weniger mühevolle Sammlung von Rezepten gestört wird.</w:t>
      </w:r>
    </w:p>
    <w:p w:rsidR="0001115E" w:rsidRPr="00FC6C86" w:rsidRDefault="0001115E" w:rsidP="0001115E">
      <w:pPr>
        <w:rPr>
          <w:rFonts w:asciiTheme="minorHAnsi" w:hAnsiTheme="minorHAnsi"/>
          <w:lang w:val="de-DE"/>
        </w:rPr>
      </w:pPr>
    </w:p>
    <w:p w:rsidR="0001115E" w:rsidRPr="00FC6C86" w:rsidRDefault="0001115E" w:rsidP="0001115E">
      <w:pPr>
        <w:rPr>
          <w:rFonts w:asciiTheme="minorHAnsi" w:hAnsiTheme="minorHAnsi"/>
          <w:lang w:val="de-DE"/>
        </w:rPr>
      </w:pPr>
      <w:r w:rsidRPr="00FC6C86">
        <w:rPr>
          <w:rFonts w:asciiTheme="minorHAnsi" w:hAnsiTheme="minorHAnsi"/>
          <w:lang w:val="de-DE"/>
        </w:rPr>
        <w:t>L3</w:t>
      </w:r>
      <w:r w:rsidRPr="00FC6C86">
        <w:rPr>
          <w:rFonts w:asciiTheme="minorHAnsi" w:hAnsiTheme="minorHAnsi"/>
          <w:lang w:val="de-DE"/>
        </w:rPr>
        <w:tab/>
        <w:t xml:space="preserve">Es empfiehlt sich, dass immer eine Person für die Einhaltung dieser Regeln </w:t>
      </w:r>
    </w:p>
    <w:p w:rsidR="0001115E" w:rsidRPr="00FC6C86" w:rsidRDefault="0001115E" w:rsidP="0001115E">
      <w:pPr>
        <w:ind w:firstLine="708"/>
        <w:rPr>
          <w:rFonts w:asciiTheme="minorHAnsi" w:hAnsiTheme="minorHAnsi"/>
          <w:lang w:val="de-DE"/>
        </w:rPr>
      </w:pPr>
      <w:r w:rsidRPr="00FC6C86">
        <w:rPr>
          <w:rFonts w:asciiTheme="minorHAnsi" w:hAnsiTheme="minorHAnsi"/>
          <w:lang w:val="de-DE"/>
        </w:rPr>
        <w:t>verantwortlich ist und in dieser Funktion auch definiert wird.</w:t>
      </w:r>
    </w:p>
    <w:p w:rsidR="0001115E" w:rsidRPr="00FC6C86" w:rsidRDefault="0001115E" w:rsidP="0001115E">
      <w:pPr>
        <w:rPr>
          <w:rFonts w:asciiTheme="minorHAnsi" w:hAnsiTheme="minorHAnsi"/>
          <w:lang w:val="de-DE"/>
        </w:rPr>
      </w:pPr>
    </w:p>
    <w:p w:rsidR="0001115E" w:rsidRPr="00FC6C86" w:rsidRDefault="0001115E" w:rsidP="0001115E">
      <w:pPr>
        <w:rPr>
          <w:rFonts w:asciiTheme="minorHAnsi" w:hAnsiTheme="minorHAnsi"/>
          <w:lang w:val="de-DE"/>
        </w:rPr>
      </w:pPr>
      <w:r w:rsidRPr="00FC6C86">
        <w:rPr>
          <w:rFonts w:asciiTheme="minorHAnsi" w:hAnsiTheme="minorHAnsi"/>
          <w:lang w:val="de-DE"/>
        </w:rPr>
        <w:t xml:space="preserve">Zur Analyse einer  Situation sind vor allem </w:t>
      </w:r>
      <w:r w:rsidRPr="00FC6C86">
        <w:rPr>
          <w:rFonts w:asciiTheme="minorHAnsi" w:hAnsiTheme="minorHAnsi"/>
          <w:i/>
          <w:lang w:val="de-DE"/>
        </w:rPr>
        <w:t>drei Arten von Fragen</w:t>
      </w:r>
      <w:r w:rsidRPr="00FC6C86">
        <w:rPr>
          <w:rFonts w:asciiTheme="minorHAnsi" w:hAnsiTheme="minorHAnsi"/>
          <w:lang w:val="de-DE"/>
        </w:rPr>
        <w:t xml:space="preserve"> geeignet:</w:t>
      </w:r>
    </w:p>
    <w:p w:rsidR="0001115E" w:rsidRPr="00FC6C86" w:rsidRDefault="0001115E" w:rsidP="0001115E">
      <w:pPr>
        <w:numPr>
          <w:ilvl w:val="0"/>
          <w:numId w:val="1"/>
        </w:numPr>
        <w:rPr>
          <w:rFonts w:asciiTheme="minorHAnsi" w:hAnsiTheme="minorHAnsi"/>
          <w:lang w:val="de-DE"/>
        </w:rPr>
      </w:pPr>
      <w:r w:rsidRPr="00FC6C86">
        <w:rPr>
          <w:rFonts w:asciiTheme="minorHAnsi" w:hAnsiTheme="minorHAnsi"/>
          <w:lang w:val="de-DE"/>
        </w:rPr>
        <w:t xml:space="preserve">Fragen zur </w:t>
      </w:r>
      <w:r w:rsidRPr="00FC6C86">
        <w:rPr>
          <w:rFonts w:asciiTheme="minorHAnsi" w:hAnsiTheme="minorHAnsi"/>
          <w:i/>
          <w:lang w:val="de-DE"/>
        </w:rPr>
        <w:t>Konkretisierung</w:t>
      </w:r>
      <w:r w:rsidRPr="00FC6C86">
        <w:rPr>
          <w:rFonts w:asciiTheme="minorHAnsi" w:hAnsiTheme="minorHAnsi"/>
          <w:lang w:val="de-DE"/>
        </w:rPr>
        <w:t xml:space="preserve"> einer Bemerkung</w:t>
      </w:r>
    </w:p>
    <w:p w:rsidR="0001115E" w:rsidRPr="00FC6C86" w:rsidRDefault="0001115E" w:rsidP="0001115E">
      <w:pPr>
        <w:numPr>
          <w:ilvl w:val="0"/>
          <w:numId w:val="1"/>
        </w:numPr>
        <w:rPr>
          <w:rFonts w:asciiTheme="minorHAnsi" w:hAnsiTheme="minorHAnsi"/>
          <w:lang w:val="de-DE"/>
        </w:rPr>
      </w:pPr>
      <w:r w:rsidRPr="00FC6C86">
        <w:rPr>
          <w:rFonts w:asciiTheme="minorHAnsi" w:hAnsiTheme="minorHAnsi"/>
          <w:lang w:val="de-DE"/>
        </w:rPr>
        <w:t xml:space="preserve">Fragen zum </w:t>
      </w:r>
      <w:r w:rsidRPr="00FC6C86">
        <w:rPr>
          <w:rFonts w:asciiTheme="minorHAnsi" w:hAnsiTheme="minorHAnsi"/>
          <w:i/>
          <w:lang w:val="de-DE"/>
        </w:rPr>
        <w:t>gedanklichen (theoretischen) Hintergrund</w:t>
      </w:r>
      <w:r w:rsidRPr="00FC6C86">
        <w:rPr>
          <w:rFonts w:asciiTheme="minorHAnsi" w:hAnsiTheme="minorHAnsi"/>
          <w:lang w:val="de-DE"/>
        </w:rPr>
        <w:t xml:space="preserve"> (z.B. die Bitte um Begründung einer Maßnahme)</w:t>
      </w:r>
    </w:p>
    <w:p w:rsidR="0001115E" w:rsidRPr="00FC6C86" w:rsidRDefault="0001115E" w:rsidP="0001115E">
      <w:pPr>
        <w:numPr>
          <w:ilvl w:val="0"/>
          <w:numId w:val="1"/>
        </w:numPr>
        <w:rPr>
          <w:rFonts w:asciiTheme="minorHAnsi" w:hAnsiTheme="minorHAnsi"/>
          <w:lang w:val="de-DE"/>
        </w:rPr>
      </w:pPr>
      <w:r w:rsidRPr="00FC6C86">
        <w:rPr>
          <w:rFonts w:asciiTheme="minorHAnsi" w:hAnsiTheme="minorHAnsi"/>
          <w:lang w:val="de-DE"/>
        </w:rPr>
        <w:t xml:space="preserve">Fragen zur </w:t>
      </w:r>
      <w:r w:rsidRPr="00FC6C86">
        <w:rPr>
          <w:rFonts w:asciiTheme="minorHAnsi" w:hAnsiTheme="minorHAnsi"/>
          <w:i/>
          <w:lang w:val="de-DE"/>
        </w:rPr>
        <w:t>Systemerweiterung</w:t>
      </w:r>
      <w:r w:rsidRPr="00FC6C86">
        <w:rPr>
          <w:rFonts w:asciiTheme="minorHAnsi" w:hAnsiTheme="minorHAnsi"/>
          <w:lang w:val="de-DE"/>
        </w:rPr>
        <w:t xml:space="preserve"> (z.B. die Bitte, auf die Rolle von Personen </w:t>
      </w:r>
      <w:r w:rsidR="00264E77" w:rsidRPr="00FC6C86">
        <w:rPr>
          <w:rFonts w:asciiTheme="minorHAnsi" w:hAnsiTheme="minorHAnsi"/>
          <w:lang w:val="de-DE"/>
        </w:rPr>
        <w:t xml:space="preserve">und/oder </w:t>
      </w:r>
      <w:r w:rsidRPr="00FC6C86">
        <w:rPr>
          <w:rFonts w:asciiTheme="minorHAnsi" w:hAnsiTheme="minorHAnsi"/>
          <w:lang w:val="de-DE"/>
        </w:rPr>
        <w:t>Ereignissen, die etwas mit dem Problem zu tun haben könnten, aber im Gespräch noch nicht berührt wurden, einzugehen).</w:t>
      </w:r>
    </w:p>
    <w:p w:rsidR="0001115E" w:rsidRPr="00FC6C86" w:rsidRDefault="0001115E" w:rsidP="0001115E">
      <w:pPr>
        <w:ind w:left="708"/>
        <w:rPr>
          <w:rFonts w:asciiTheme="minorHAnsi" w:hAnsiTheme="minorHAnsi"/>
          <w:lang w:val="de-DE"/>
        </w:rPr>
      </w:pPr>
    </w:p>
    <w:p w:rsidR="0001115E" w:rsidRPr="00FC6C86" w:rsidRDefault="0001115E" w:rsidP="0001115E">
      <w:pPr>
        <w:rPr>
          <w:rFonts w:asciiTheme="minorHAnsi" w:hAnsiTheme="minorHAnsi"/>
          <w:lang w:val="de-DE"/>
        </w:rPr>
      </w:pPr>
      <w:r w:rsidRPr="00FC6C86">
        <w:rPr>
          <w:rFonts w:asciiTheme="minorHAnsi" w:hAnsiTheme="minorHAnsi"/>
          <w:lang w:val="de-DE"/>
        </w:rPr>
        <w:t>Im Laufe einer Einheit ist jede Lehrerin/jeder Lehrer einmal L1 und einmal L3.</w:t>
      </w:r>
    </w:p>
    <w:p w:rsidR="0001115E" w:rsidRPr="00FC6C86" w:rsidRDefault="0001115E" w:rsidP="0001115E">
      <w:pPr>
        <w:rPr>
          <w:rFonts w:asciiTheme="minorHAnsi" w:hAnsiTheme="minorHAnsi"/>
          <w:lang w:val="de-DE"/>
        </w:rPr>
      </w:pPr>
    </w:p>
    <w:p w:rsidR="0001115E" w:rsidRPr="00FC6C86" w:rsidRDefault="0001115E" w:rsidP="0001115E">
      <w:pPr>
        <w:rPr>
          <w:rFonts w:asciiTheme="minorHAnsi" w:hAnsiTheme="minorHAnsi"/>
          <w:lang w:val="de-DE"/>
        </w:rPr>
      </w:pPr>
      <w:r w:rsidRPr="00FC6C86">
        <w:rPr>
          <w:rFonts w:asciiTheme="minorHAnsi" w:hAnsiTheme="minorHAnsi"/>
          <w:lang w:val="de-DE"/>
        </w:rPr>
        <w:t xml:space="preserve">Pro Person werden etwa 20 Minuten empfohlen. </w:t>
      </w:r>
    </w:p>
    <w:p w:rsidR="0001115E" w:rsidRPr="00FC6C86" w:rsidRDefault="0001115E" w:rsidP="0001115E">
      <w:pPr>
        <w:rPr>
          <w:rFonts w:asciiTheme="minorHAnsi" w:hAnsiTheme="minorHAnsi"/>
          <w:lang w:val="de-DE"/>
        </w:rPr>
      </w:pPr>
      <w:r w:rsidRPr="00FC6C86">
        <w:rPr>
          <w:rFonts w:asciiTheme="minorHAnsi" w:hAnsiTheme="minorHAnsi"/>
          <w:lang w:val="de-DE"/>
        </w:rPr>
        <w:t>Für eine tiefer gehende Auseinandersetzung ist aber zu bedenken, dass manchmal erst „nach einer ‚Durststrecke’ von 10 – 20 Minuten, in denen die Oberfläche abgesucht wird, das Gespräch plötzlich an Tiefe gewinnt und für alle Beteiligten zu einer menschlich und intellektuell bereichernden Erfahrung werden kann.“ (</w:t>
      </w:r>
      <w:r w:rsidR="00201F03">
        <w:rPr>
          <w:rFonts w:asciiTheme="minorHAnsi" w:hAnsiTheme="minorHAnsi"/>
          <w:lang w:val="de-DE"/>
        </w:rPr>
        <w:t>Altrichter &amp; Posch,</w:t>
      </w:r>
      <w:r w:rsidRPr="00FC6C86">
        <w:rPr>
          <w:rFonts w:asciiTheme="minorHAnsi" w:hAnsiTheme="minorHAnsi"/>
          <w:lang w:val="de-DE"/>
        </w:rPr>
        <w:t xml:space="preserve"> </w:t>
      </w:r>
      <w:bookmarkStart w:id="0" w:name="_GoBack"/>
      <w:bookmarkEnd w:id="0"/>
      <w:r w:rsidRPr="00FC6C86">
        <w:rPr>
          <w:rFonts w:asciiTheme="minorHAnsi" w:hAnsiTheme="minorHAnsi"/>
          <w:lang w:val="de-DE"/>
        </w:rPr>
        <w:t>1990, S. 70)</w:t>
      </w:r>
    </w:p>
    <w:p w:rsidR="00D97A9E" w:rsidRPr="00FC6C86" w:rsidRDefault="00D97A9E" w:rsidP="00D97A9E">
      <w:pPr>
        <w:rPr>
          <w:rFonts w:asciiTheme="minorHAnsi" w:hAnsiTheme="minorHAnsi"/>
          <w:lang w:val="de-DE"/>
        </w:rPr>
      </w:pPr>
    </w:p>
    <w:p w:rsidR="00D97A9E" w:rsidRPr="00FC6C86" w:rsidRDefault="00D97A9E" w:rsidP="00D97A9E">
      <w:pPr>
        <w:rPr>
          <w:rFonts w:asciiTheme="minorHAnsi" w:hAnsiTheme="minorHAnsi"/>
          <w:lang w:val="de-DE"/>
        </w:rPr>
      </w:pPr>
    </w:p>
    <w:p w:rsidR="00D97A9E" w:rsidRPr="00FC6C86" w:rsidRDefault="0001115E" w:rsidP="00D97A9E">
      <w:pPr>
        <w:rPr>
          <w:rFonts w:asciiTheme="minorHAnsi" w:hAnsiTheme="minorHAnsi"/>
          <w:sz w:val="22"/>
          <w:szCs w:val="22"/>
          <w:lang w:val="de-DE"/>
        </w:rPr>
      </w:pPr>
      <w:r w:rsidRPr="00FC6C86">
        <w:rPr>
          <w:rFonts w:asciiTheme="minorHAnsi" w:hAnsiTheme="minorHAnsi"/>
          <w:sz w:val="22"/>
          <w:szCs w:val="22"/>
          <w:lang w:val="de-DE"/>
        </w:rPr>
        <w:t>Zusammengestellt von Gabriele Fenkart  nach:</w:t>
      </w:r>
    </w:p>
    <w:p w:rsidR="00D97A9E" w:rsidRPr="00FC6C86" w:rsidRDefault="00D97A9E">
      <w:pPr>
        <w:rPr>
          <w:rFonts w:asciiTheme="minorHAnsi" w:hAnsiTheme="minorHAnsi"/>
          <w:sz w:val="22"/>
          <w:szCs w:val="22"/>
        </w:rPr>
      </w:pPr>
      <w:r w:rsidRPr="00FC6C86">
        <w:rPr>
          <w:rFonts w:asciiTheme="minorHAnsi" w:hAnsiTheme="minorHAnsi"/>
          <w:sz w:val="22"/>
          <w:szCs w:val="22"/>
          <w:lang w:val="de-DE"/>
        </w:rPr>
        <w:t>Altrichter, Herbert</w:t>
      </w:r>
      <w:r w:rsidR="003076AF">
        <w:rPr>
          <w:rFonts w:asciiTheme="minorHAnsi" w:hAnsiTheme="minorHAnsi"/>
          <w:sz w:val="22"/>
          <w:szCs w:val="22"/>
          <w:lang w:val="de-DE"/>
        </w:rPr>
        <w:t xml:space="preserve"> &amp;</w:t>
      </w:r>
      <w:r w:rsidRPr="00FC6C86">
        <w:rPr>
          <w:rFonts w:asciiTheme="minorHAnsi" w:hAnsiTheme="minorHAnsi"/>
          <w:sz w:val="22"/>
          <w:szCs w:val="22"/>
          <w:lang w:val="de-DE"/>
        </w:rPr>
        <w:t xml:space="preserve"> Posch, Peter</w:t>
      </w:r>
      <w:r w:rsidR="00264E77" w:rsidRPr="00FC6C86">
        <w:rPr>
          <w:rFonts w:asciiTheme="minorHAnsi" w:hAnsiTheme="minorHAnsi"/>
          <w:sz w:val="22"/>
          <w:szCs w:val="22"/>
          <w:lang w:val="de-DE"/>
        </w:rPr>
        <w:t xml:space="preserve"> (1990)</w:t>
      </w:r>
      <w:r w:rsidRPr="00FC6C86">
        <w:rPr>
          <w:rFonts w:asciiTheme="minorHAnsi" w:hAnsiTheme="minorHAnsi"/>
          <w:sz w:val="22"/>
          <w:szCs w:val="22"/>
          <w:lang w:val="de-DE"/>
        </w:rPr>
        <w:t xml:space="preserve">: Lehrer erforschen ihren Unterricht. Eine Einführung in die Methoden der Aktionsforschung. Bad Heilbrunn: </w:t>
      </w:r>
      <w:proofErr w:type="spellStart"/>
      <w:r w:rsidRPr="00FC6C86">
        <w:rPr>
          <w:rFonts w:asciiTheme="minorHAnsi" w:hAnsiTheme="minorHAnsi"/>
          <w:sz w:val="22"/>
          <w:szCs w:val="22"/>
          <w:lang w:val="de-DE"/>
        </w:rPr>
        <w:t>Klinkhardt</w:t>
      </w:r>
      <w:proofErr w:type="spellEnd"/>
      <w:r w:rsidR="00264E77" w:rsidRPr="00FC6C86">
        <w:rPr>
          <w:rFonts w:asciiTheme="minorHAnsi" w:hAnsiTheme="minorHAnsi"/>
          <w:sz w:val="22"/>
          <w:szCs w:val="22"/>
          <w:lang w:val="de-DE"/>
        </w:rPr>
        <w:t>.</w:t>
      </w:r>
      <w:r w:rsidRPr="00FC6C86">
        <w:rPr>
          <w:rFonts w:asciiTheme="minorHAnsi" w:hAnsiTheme="minorHAnsi"/>
          <w:sz w:val="22"/>
          <w:szCs w:val="22"/>
          <w:lang w:val="de-DE"/>
        </w:rPr>
        <w:t xml:space="preserve"> </w:t>
      </w:r>
    </w:p>
    <w:sectPr w:rsidR="00D97A9E" w:rsidRPr="00FC6C8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C9" w:rsidRDefault="00385CC9" w:rsidP="00FC6C86">
      <w:r>
        <w:separator/>
      </w:r>
    </w:p>
  </w:endnote>
  <w:endnote w:type="continuationSeparator" w:id="0">
    <w:p w:rsidR="00385CC9" w:rsidRDefault="00385CC9" w:rsidP="00FC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86" w:rsidRDefault="00201F03" w:rsidP="00201F03">
    <w:pPr>
      <w:pStyle w:val="Fuzeile"/>
      <w:pBdr>
        <w:top w:val="thinThickSmallGap" w:sz="24" w:space="1" w:color="622423" w:themeColor="accent2" w:themeShade="7F"/>
      </w:pBdr>
      <w:ind w:left="360"/>
    </w:pPr>
    <w:r>
      <w:rPr>
        <w:noProof/>
      </w:rPr>
      <w:drawing>
        <wp:inline distT="0" distB="0" distL="0" distR="0" wp14:anchorId="7649C789" wp14:editId="0778C3EA">
          <wp:extent cx="317326" cy="317326"/>
          <wp:effectExtent l="0" t="0" r="6985" b="6985"/>
          <wp:docPr id="5" name="Bild 7"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ST-Logo"/>
                  <pic:cNvPicPr>
                    <a:picLocks noChangeAspect="1" noChangeArrowheads="1"/>
                  </pic:cNvPicPr>
                </pic:nvPicPr>
                <pic:blipFill>
                  <a:blip r:embed="rId1"/>
                  <a:srcRect/>
                  <a:stretch>
                    <a:fillRect/>
                  </a:stretch>
                </pic:blipFill>
                <pic:spPr bwMode="auto">
                  <a:xfrm>
                    <a:off x="0" y="0"/>
                    <a:ext cx="338164" cy="338164"/>
                  </a:xfrm>
                  <a:prstGeom prst="rect">
                    <a:avLst/>
                  </a:prstGeom>
                  <a:noFill/>
                  <a:ln w="9525">
                    <a:noFill/>
                    <a:miter lim="800000"/>
                    <a:headEnd/>
                    <a:tailEnd/>
                  </a:ln>
                </pic:spPr>
              </pic:pic>
            </a:graphicData>
          </a:graphic>
        </wp:inline>
      </w:drawing>
    </w:r>
    <w:r>
      <w:rPr>
        <w:rFonts w:asciiTheme="majorHAnsi" w:eastAsiaTheme="majorEastAsia" w:hAnsiTheme="majorHAnsi" w:cstheme="majorBidi"/>
      </w:rPr>
      <w:t xml:space="preserve">  </w:t>
    </w:r>
    <w:r w:rsidR="00FC6C86">
      <w:rPr>
        <w:rFonts w:asciiTheme="majorHAnsi" w:eastAsiaTheme="majorEastAsia" w:hAnsiTheme="majorHAnsi" w:cstheme="majorBidi"/>
      </w:rPr>
      <w:t>IMST: „</w:t>
    </w:r>
    <w:r w:rsidR="00A0325D">
      <w:rPr>
        <w:rFonts w:asciiTheme="majorHAnsi" w:eastAsiaTheme="majorEastAsia" w:hAnsiTheme="majorHAnsi" w:cstheme="majorBidi"/>
      </w:rPr>
      <w:t xml:space="preserve">Schreiben </w:t>
    </w:r>
    <w:r w:rsidR="00FC6C86">
      <w:rPr>
        <w:rFonts w:asciiTheme="majorHAnsi" w:eastAsiaTheme="majorEastAsia" w:hAnsiTheme="majorHAnsi" w:cstheme="majorBidi"/>
      </w:rPr>
      <w:t>und</w:t>
    </w:r>
    <w:r w:rsidR="00A0325D" w:rsidRPr="00A0325D">
      <w:rPr>
        <w:rFonts w:asciiTheme="majorHAnsi" w:eastAsiaTheme="majorEastAsia" w:hAnsiTheme="majorHAnsi" w:cstheme="majorBidi"/>
      </w:rPr>
      <w:t xml:space="preserve"> </w:t>
    </w:r>
    <w:r w:rsidR="00A0325D">
      <w:rPr>
        <w:rFonts w:asciiTheme="majorHAnsi" w:eastAsiaTheme="majorEastAsia" w:hAnsiTheme="majorHAnsi" w:cstheme="majorBidi"/>
      </w:rPr>
      <w:t>Lesen</w:t>
    </w:r>
    <w:r w:rsidR="00FC6C86">
      <w:rPr>
        <w:rFonts w:asciiTheme="majorHAnsi" w:eastAsiaTheme="majorEastAsia" w:hAnsiTheme="majorHAnsi" w:cstheme="majorBidi"/>
      </w:rPr>
      <w:t>“ (Start-up)</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C9" w:rsidRDefault="00385CC9" w:rsidP="00FC6C86">
      <w:r>
        <w:separator/>
      </w:r>
    </w:p>
  </w:footnote>
  <w:footnote w:type="continuationSeparator" w:id="0">
    <w:p w:rsidR="00385CC9" w:rsidRDefault="00385CC9" w:rsidP="00FC6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MST-Logo" style="width:185.25pt;height:185.25pt;visibility:visible;mso-wrap-style:square" o:bullet="t">
        <v:imagedata r:id="rId1" o:title="IMST-Logo"/>
      </v:shape>
    </w:pict>
  </w:numPicBullet>
  <w:abstractNum w:abstractNumId="0">
    <w:nsid w:val="4B9720D2"/>
    <w:multiLevelType w:val="hybridMultilevel"/>
    <w:tmpl w:val="49582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4287E24"/>
    <w:multiLevelType w:val="hybridMultilevel"/>
    <w:tmpl w:val="9F4A6F3E"/>
    <w:lvl w:ilvl="0" w:tplc="01BE16D4">
      <w:start w:val="1"/>
      <w:numFmt w:val="bullet"/>
      <w:lvlText w:val=""/>
      <w:lvlPicBulletId w:val="0"/>
      <w:lvlJc w:val="left"/>
      <w:pPr>
        <w:tabs>
          <w:tab w:val="num" w:pos="720"/>
        </w:tabs>
        <w:ind w:left="720" w:hanging="360"/>
      </w:pPr>
      <w:rPr>
        <w:rFonts w:ascii="Symbol" w:hAnsi="Symbol" w:hint="default"/>
      </w:rPr>
    </w:lvl>
    <w:lvl w:ilvl="1" w:tplc="1E5275F2" w:tentative="1">
      <w:start w:val="1"/>
      <w:numFmt w:val="bullet"/>
      <w:lvlText w:val=""/>
      <w:lvlJc w:val="left"/>
      <w:pPr>
        <w:tabs>
          <w:tab w:val="num" w:pos="1440"/>
        </w:tabs>
        <w:ind w:left="1440" w:hanging="360"/>
      </w:pPr>
      <w:rPr>
        <w:rFonts w:ascii="Symbol" w:hAnsi="Symbol" w:hint="default"/>
      </w:rPr>
    </w:lvl>
    <w:lvl w:ilvl="2" w:tplc="272E8E9C" w:tentative="1">
      <w:start w:val="1"/>
      <w:numFmt w:val="bullet"/>
      <w:lvlText w:val=""/>
      <w:lvlJc w:val="left"/>
      <w:pPr>
        <w:tabs>
          <w:tab w:val="num" w:pos="2160"/>
        </w:tabs>
        <w:ind w:left="2160" w:hanging="360"/>
      </w:pPr>
      <w:rPr>
        <w:rFonts w:ascii="Symbol" w:hAnsi="Symbol" w:hint="default"/>
      </w:rPr>
    </w:lvl>
    <w:lvl w:ilvl="3" w:tplc="6A0AA3EA" w:tentative="1">
      <w:start w:val="1"/>
      <w:numFmt w:val="bullet"/>
      <w:lvlText w:val=""/>
      <w:lvlJc w:val="left"/>
      <w:pPr>
        <w:tabs>
          <w:tab w:val="num" w:pos="2880"/>
        </w:tabs>
        <w:ind w:left="2880" w:hanging="360"/>
      </w:pPr>
      <w:rPr>
        <w:rFonts w:ascii="Symbol" w:hAnsi="Symbol" w:hint="default"/>
      </w:rPr>
    </w:lvl>
    <w:lvl w:ilvl="4" w:tplc="F4EE112A" w:tentative="1">
      <w:start w:val="1"/>
      <w:numFmt w:val="bullet"/>
      <w:lvlText w:val=""/>
      <w:lvlJc w:val="left"/>
      <w:pPr>
        <w:tabs>
          <w:tab w:val="num" w:pos="3600"/>
        </w:tabs>
        <w:ind w:left="3600" w:hanging="360"/>
      </w:pPr>
      <w:rPr>
        <w:rFonts w:ascii="Symbol" w:hAnsi="Symbol" w:hint="default"/>
      </w:rPr>
    </w:lvl>
    <w:lvl w:ilvl="5" w:tplc="BACCAE42" w:tentative="1">
      <w:start w:val="1"/>
      <w:numFmt w:val="bullet"/>
      <w:lvlText w:val=""/>
      <w:lvlJc w:val="left"/>
      <w:pPr>
        <w:tabs>
          <w:tab w:val="num" w:pos="4320"/>
        </w:tabs>
        <w:ind w:left="4320" w:hanging="360"/>
      </w:pPr>
      <w:rPr>
        <w:rFonts w:ascii="Symbol" w:hAnsi="Symbol" w:hint="default"/>
      </w:rPr>
    </w:lvl>
    <w:lvl w:ilvl="6" w:tplc="9800D69A" w:tentative="1">
      <w:start w:val="1"/>
      <w:numFmt w:val="bullet"/>
      <w:lvlText w:val=""/>
      <w:lvlJc w:val="left"/>
      <w:pPr>
        <w:tabs>
          <w:tab w:val="num" w:pos="5040"/>
        </w:tabs>
        <w:ind w:left="5040" w:hanging="360"/>
      </w:pPr>
      <w:rPr>
        <w:rFonts w:ascii="Symbol" w:hAnsi="Symbol" w:hint="default"/>
      </w:rPr>
    </w:lvl>
    <w:lvl w:ilvl="7" w:tplc="7B0E2392" w:tentative="1">
      <w:start w:val="1"/>
      <w:numFmt w:val="bullet"/>
      <w:lvlText w:val=""/>
      <w:lvlJc w:val="left"/>
      <w:pPr>
        <w:tabs>
          <w:tab w:val="num" w:pos="5760"/>
        </w:tabs>
        <w:ind w:left="5760" w:hanging="360"/>
      </w:pPr>
      <w:rPr>
        <w:rFonts w:ascii="Symbol" w:hAnsi="Symbol" w:hint="default"/>
      </w:rPr>
    </w:lvl>
    <w:lvl w:ilvl="8" w:tplc="12D0F980" w:tentative="1">
      <w:start w:val="1"/>
      <w:numFmt w:val="bullet"/>
      <w:lvlText w:val=""/>
      <w:lvlJc w:val="left"/>
      <w:pPr>
        <w:tabs>
          <w:tab w:val="num" w:pos="6480"/>
        </w:tabs>
        <w:ind w:left="6480" w:hanging="360"/>
      </w:pPr>
      <w:rPr>
        <w:rFonts w:ascii="Symbol" w:hAnsi="Symbol" w:hint="default"/>
      </w:rPr>
    </w:lvl>
  </w:abstractNum>
  <w:abstractNum w:abstractNumId="2">
    <w:nsid w:val="74454A98"/>
    <w:multiLevelType w:val="hybridMultilevel"/>
    <w:tmpl w:val="011A951C"/>
    <w:lvl w:ilvl="0" w:tplc="862A6AD4">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9E"/>
    <w:rsid w:val="0001115E"/>
    <w:rsid w:val="000E5572"/>
    <w:rsid w:val="00201F03"/>
    <w:rsid w:val="00264E77"/>
    <w:rsid w:val="003076AF"/>
    <w:rsid w:val="00385CC9"/>
    <w:rsid w:val="00783356"/>
    <w:rsid w:val="00A0325D"/>
    <w:rsid w:val="00D97A9E"/>
    <w:rsid w:val="00DF192B"/>
    <w:rsid w:val="00E64880"/>
    <w:rsid w:val="00FC6C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EC6BB1-EBE2-433C-B64C-C19735E6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A9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6C86"/>
    <w:pPr>
      <w:tabs>
        <w:tab w:val="center" w:pos="4536"/>
        <w:tab w:val="right" w:pos="9072"/>
      </w:tabs>
    </w:pPr>
  </w:style>
  <w:style w:type="character" w:customStyle="1" w:styleId="KopfzeileZchn">
    <w:name w:val="Kopfzeile Zchn"/>
    <w:basedOn w:val="Absatz-Standardschriftart"/>
    <w:link w:val="Kopfzeile"/>
    <w:rsid w:val="00FC6C86"/>
    <w:rPr>
      <w:sz w:val="24"/>
      <w:szCs w:val="24"/>
    </w:rPr>
  </w:style>
  <w:style w:type="paragraph" w:styleId="Fuzeile">
    <w:name w:val="footer"/>
    <w:basedOn w:val="Standard"/>
    <w:link w:val="FuzeileZchn"/>
    <w:uiPriority w:val="99"/>
    <w:rsid w:val="00FC6C86"/>
    <w:pPr>
      <w:tabs>
        <w:tab w:val="center" w:pos="4536"/>
        <w:tab w:val="right" w:pos="9072"/>
      </w:tabs>
    </w:pPr>
  </w:style>
  <w:style w:type="character" w:customStyle="1" w:styleId="FuzeileZchn">
    <w:name w:val="Fußzeile Zchn"/>
    <w:basedOn w:val="Absatz-Standardschriftart"/>
    <w:link w:val="Fuzeile"/>
    <w:uiPriority w:val="99"/>
    <w:rsid w:val="00FC6C86"/>
    <w:rPr>
      <w:sz w:val="24"/>
      <w:szCs w:val="24"/>
    </w:rPr>
  </w:style>
  <w:style w:type="paragraph" w:styleId="Sprechblasentext">
    <w:name w:val="Balloon Text"/>
    <w:basedOn w:val="Standard"/>
    <w:link w:val="SprechblasentextZchn"/>
    <w:rsid w:val="00FC6C86"/>
    <w:rPr>
      <w:rFonts w:ascii="Tahoma" w:hAnsi="Tahoma" w:cs="Tahoma"/>
      <w:sz w:val="16"/>
      <w:szCs w:val="16"/>
    </w:rPr>
  </w:style>
  <w:style w:type="character" w:customStyle="1" w:styleId="SprechblasentextZchn">
    <w:name w:val="Sprechblasentext Zchn"/>
    <w:basedOn w:val="Absatz-Standardschriftart"/>
    <w:link w:val="Sprechblasentext"/>
    <w:rsid w:val="00FC6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Das Forschungstagebuch</vt:lpstr>
    </vt:vector>
  </TitlesOfParts>
  <Company>Universität Klagenfurt - ZID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Forschungstagebuch</dc:title>
  <dc:creator>gfenkart</dc:creator>
  <cp:lastModifiedBy>Ursula Esterl</cp:lastModifiedBy>
  <cp:revision>7</cp:revision>
  <dcterms:created xsi:type="dcterms:W3CDTF">2013-09-25T20:26:00Z</dcterms:created>
  <dcterms:modified xsi:type="dcterms:W3CDTF">2014-09-24T13:16:00Z</dcterms:modified>
</cp:coreProperties>
</file>